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5803" w:rsidRDefault="0098265B">
      <w:pPr>
        <w:spacing w:line="360" w:lineRule="auto"/>
        <w:jc w:val="center"/>
        <w:textAlignment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11404600</wp:posOffset>
            </wp:positionV>
            <wp:extent cx="419100" cy="2794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12433300</wp:posOffset>
            </wp:positionH>
            <wp:positionV relativeFrom="topMargin">
              <wp:posOffset>11036300</wp:posOffset>
            </wp:positionV>
            <wp:extent cx="495300" cy="279400"/>
            <wp:effectExtent l="0" t="0" r="0" b="0"/>
            <wp:wrapNone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2026</w:t>
      </w:r>
      <w:r>
        <w:rPr>
          <w:rFonts w:ascii="宋体" w:hAnsi="宋体"/>
          <w:b/>
          <w:sz w:val="32"/>
        </w:rPr>
        <w:t>年普通高中学业水平选择性考试（河北卷）</w:t>
      </w:r>
    </w:p>
    <w:p w:rsidR="00ED5803" w:rsidRDefault="0098265B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32"/>
        </w:rPr>
        <w:t>生物学</w:t>
      </w:r>
    </w:p>
    <w:p w:rsidR="00ED5803" w:rsidRDefault="0098265B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本试卷满分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分钟。</w:t>
      </w:r>
    </w:p>
    <w:p w:rsidR="00ED5803" w:rsidRDefault="0098265B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一、单项选择题：本题共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ED5803" w:rsidRDefault="0098265B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同一个生物分子可先后出现于两个细胞结构，下列选项与此描述不符的是（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:rsidR="00ED5803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98265B">
        <w:rPr>
          <w:rFonts w:eastAsia="Times New Roman" w:cs="Times New Roman"/>
        </w:rPr>
        <w:t>ATP</w:t>
      </w:r>
      <w:r w:rsidR="0098265B">
        <w:rPr>
          <w:rFonts w:ascii="宋体" w:hAnsi="宋体"/>
        </w:rPr>
        <w:t>：线粒体</w:t>
      </w:r>
      <w:r w:rsidR="0098265B">
        <w:rPr>
          <w:rFonts w:ascii="宋体" w:hAnsi="宋体"/>
        </w:rPr>
        <w:t>→</w:t>
      </w:r>
      <w:r w:rsidR="0098265B">
        <w:rPr>
          <w:rFonts w:ascii="宋体" w:hAnsi="宋体"/>
        </w:rPr>
        <w:t>溶酶体</w:t>
      </w:r>
      <w:r w:rsidRPr="00BE1BCD">
        <w:tab/>
        <w:t xml:space="preserve">B. </w:t>
      </w:r>
      <w:r w:rsidR="0098265B">
        <w:rPr>
          <w:rFonts w:eastAsia="Times New Roman" w:cs="Times New Roman"/>
        </w:rPr>
        <w:t>mRNA</w:t>
      </w:r>
      <w:r w:rsidR="0098265B">
        <w:rPr>
          <w:rFonts w:ascii="宋体" w:hAnsi="宋体"/>
        </w:rPr>
        <w:t>：细胞核</w:t>
      </w:r>
      <w:r w:rsidR="0098265B">
        <w:rPr>
          <w:rFonts w:ascii="宋体" w:hAnsi="宋体"/>
        </w:rPr>
        <w:t>→</w:t>
      </w:r>
      <w:r w:rsidR="0098265B">
        <w:rPr>
          <w:rFonts w:ascii="宋体" w:hAnsi="宋体"/>
        </w:rPr>
        <w:t>核糖体</w:t>
      </w:r>
    </w:p>
    <w:p w:rsidR="00ED5803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98265B">
        <w:rPr>
          <w:rFonts w:ascii="宋体" w:hAnsi="宋体"/>
        </w:rPr>
        <w:t>淀粉：叶绿体</w:t>
      </w:r>
      <w:r w:rsidR="0098265B">
        <w:rPr>
          <w:rFonts w:ascii="宋体" w:hAnsi="宋体"/>
        </w:rPr>
        <w:t>→</w:t>
      </w:r>
      <w:r w:rsidR="0098265B">
        <w:rPr>
          <w:rFonts w:ascii="宋体" w:hAnsi="宋体"/>
        </w:rPr>
        <w:t>线粒体</w:t>
      </w:r>
      <w:r w:rsidRPr="00BE1BCD">
        <w:tab/>
        <w:t xml:space="preserve">D. </w:t>
      </w:r>
      <w:r w:rsidR="0098265B">
        <w:rPr>
          <w:rFonts w:ascii="宋体" w:hAnsi="宋体"/>
        </w:rPr>
        <w:t>磷脂：内质网</w:t>
      </w:r>
      <w:r w:rsidR="0098265B">
        <w:rPr>
          <w:rFonts w:ascii="宋体" w:hAnsi="宋体"/>
        </w:rPr>
        <w:t>→</w:t>
      </w:r>
      <w:r w:rsidR="0098265B">
        <w:rPr>
          <w:rFonts w:ascii="宋体" w:hAnsi="宋体"/>
        </w:rPr>
        <w:t>高尔基体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某种动物的体细胞增殖过程中不同阶段的示意图如下，其中错误的是（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676275" cy="6572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>
            <wp:extent cx="771525" cy="7334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638175" cy="6572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609600" cy="647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洋葱表皮细胞的质膜紧贴细胞壁。为在荧光显微镜下辨别某荧光标记蛋白是否定位于表皮细胞的质膜，可使细胞质壁分离后再观察。下列分析正确的是（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质壁分离过程中，细胞液的渗透压逐渐减小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原生质层比细胞壁的伸缩性小是质壁分离的原因之一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紫色洋葱鳞片叶的内表皮不可作为该实验的实验材料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除质壁分离外，也可利用纤维素酶和果胶酶制备原生质体后再观察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某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病毒为侵染动物细胞的逆转录病毒，其衣壳外有来自宿主细胞膜的脂质包膜。下列分析错误的是（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该病毒逆转录时，沿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模板链的</w:t>
      </w:r>
      <w:r w:rsidR="003E739E">
        <w:rPr>
          <w:color w:val="000000"/>
        </w:rPr>
        <w:t>3'→5'</w:t>
      </w:r>
      <w:r>
        <w:rPr>
          <w:rFonts w:ascii="宋体" w:hAnsi="宋体"/>
          <w:color w:val="000000"/>
        </w:rPr>
        <w:t>方向合成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链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逆转录形成的</w:t>
      </w:r>
      <w:r>
        <w:rPr>
          <w:rFonts w:eastAsia="Times New Roman" w:cs="Times New Roman"/>
          <w:color w:val="000000"/>
        </w:rPr>
        <w:t>RNA/DNA</w:t>
      </w:r>
      <w:r>
        <w:rPr>
          <w:rFonts w:ascii="宋体" w:hAnsi="宋体"/>
          <w:color w:val="000000"/>
        </w:rPr>
        <w:t>双链中碱基数量符合</w:t>
      </w:r>
      <w:r>
        <w:rPr>
          <w:rFonts w:eastAsia="Times New Roman" w:cs="Times New Roman"/>
          <w:color w:val="000000"/>
        </w:rPr>
        <w:t>U+C=A+G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该病毒衣壳蛋白的合成需借助宿主细胞的</w:t>
      </w:r>
      <w:r>
        <w:rPr>
          <w:rFonts w:eastAsia="Times New Roman" w:cs="Times New Roman"/>
          <w:color w:val="000000"/>
        </w:rPr>
        <w:t>tRNA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该病毒的脂质包膜中含有胆固醇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酶与无机催化剂催化的两类反应中能量变化如图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592286" cy="1519278"/>
            <wp:effectExtent l="0" t="0" r="825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50863" cy="154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所示反应中酶与无机催化剂降低活化能的差值为</w:t>
      </w:r>
      <w:r>
        <w:rPr>
          <w:rFonts w:eastAsia="Times New Roman" w:cs="Times New Roman"/>
          <w:color w:val="000000"/>
        </w:rPr>
        <w:t>e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所示为放能反应，图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所示为吸能反应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反应相比，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反应所需的条件一般较温和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所示反应中酶促反应的活化能为</w:t>
      </w:r>
      <w:r>
        <w:rPr>
          <w:rFonts w:eastAsia="Times New Roman" w:cs="Times New Roman"/>
          <w:color w:val="000000"/>
        </w:rPr>
        <w:t>f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染色体上基因排列顺序为</w:t>
      </w:r>
      <w:r>
        <w:rPr>
          <w:rFonts w:eastAsia="Times New Roman" w:cs="Times New Roman"/>
          <w:color w:val="000000"/>
        </w:rPr>
        <w:t>a-b-c-d-e</w:t>
      </w:r>
      <w:r>
        <w:rPr>
          <w:rFonts w:ascii="宋体" w:hAnsi="宋体"/>
          <w:color w:val="000000"/>
        </w:rPr>
        <w:t>的隐性纯合突变体雌果蝇与经射线照射后的野生型雄蝇杂交，子代中出现一只由染色体片段缺失导致的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隐性表型的雌蝇甲。已知缺失纯合体致死，不考虑其他突变和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染色体同源区段，下列分析正确的是（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由于缺失纯合体致死，因此该变异不能为进化提供原材料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雌蝇甲与正常野生型雄蝇杂交，子代中雌雄的数量比为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雌蝇甲的减数分裂过程中，每对同源染色体均能通过联会形成正常四分体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雌蝇甲与正常野生型雄蝇杂交</w:t>
      </w:r>
      <w:r>
        <w:rPr>
          <w:rFonts w:ascii="宋体" w:hAnsi="宋体"/>
          <w:color w:val="000000"/>
        </w:rPr>
        <w:t>，子代雄蝇中可出现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基因控制的显性表型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在雄性大角鹿求偶争斗的过程中，鹿角较大的个体更易获胜，能繁殖更多的后代，从而使雄鹿中鹿角较大的个体占比逐代增高。然而鹿角大的雄鹿更易被捕食，致使大角鹿种群不断衰退。下列分析错误的是（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大角鹿在求偶选择中的不适应特征导致其种群衰退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生物种群繁殖能力和生存能力的减弱均会造成种群衰退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在一定的选择作用下，可遗传的有利变异会使某些个体具有相对优势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生物面临不同选择压力时，某些适应性特征反而会使其表现为不适应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马拉松比赛时，运动员</w:t>
      </w:r>
      <w:r>
        <w:rPr>
          <w:rFonts w:ascii="宋体" w:hAnsi="宋体"/>
          <w:color w:val="000000"/>
        </w:rPr>
        <w:t>耗氧量显著增加，同时产生大量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机体代谢产生与排出的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基本相等是稳态调节的结果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机体摄入的</w:t>
      </w:r>
      <w:r>
        <w:rPr>
          <w:rFonts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通过与内环境中的血红蛋白结合进行运输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比赛过程中，</w:t>
      </w:r>
      <w:r>
        <w:rPr>
          <w:rFonts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/H</w:t>
      </w:r>
      <w:r>
        <w:rPr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可缓冲乳酸导致的血浆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降低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运动时，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可通过神经系统对呼吸运动进行调节，以提高</w:t>
      </w:r>
      <w:r>
        <w:rPr>
          <w:rFonts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供给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抗利尿激素（</w:t>
      </w:r>
      <w:r>
        <w:rPr>
          <w:rFonts w:eastAsia="Times New Roman" w:cs="Times New Roman"/>
          <w:color w:val="000000"/>
        </w:rPr>
        <w:t>ADH</w:t>
      </w:r>
      <w:r>
        <w:rPr>
          <w:rFonts w:ascii="宋体" w:hAnsi="宋体"/>
          <w:color w:val="000000"/>
        </w:rPr>
        <w:t>）分泌异常增加可导致大量的水积聚在脑细胞，造成脑细胞水肿，严重的脑细胞水肿可由静脉输入高浓度盐水治疗。下列分析错误的是（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下丘脑分泌的</w:t>
      </w:r>
      <w:r>
        <w:rPr>
          <w:rFonts w:eastAsia="Times New Roman" w:cs="Times New Roman"/>
          <w:color w:val="000000"/>
        </w:rPr>
        <w:t>ADH</w:t>
      </w:r>
      <w:r>
        <w:rPr>
          <w:rFonts w:ascii="宋体" w:hAnsi="宋体"/>
          <w:color w:val="000000"/>
        </w:rPr>
        <w:t>能促进肾小管和集合管对水的重吸收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ADH</w:t>
      </w:r>
      <w:r>
        <w:rPr>
          <w:rFonts w:ascii="宋体" w:hAnsi="宋体"/>
          <w:color w:val="000000"/>
        </w:rPr>
        <w:t>异常增加可造成脑细胞外液渗透压降低，导致脑细胞水肿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输入高浓度盐水后，机体分泌的醛固酮增加，促进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的重吸收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输入高浓度盐水后，脑细胞外液渗透压升高，可缓解脑细胞水肿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为实现三七皂苷工厂化生产，研究者利用生长素类调节剂吲哚丁酸（</w:t>
      </w:r>
      <w:r>
        <w:rPr>
          <w:rFonts w:eastAsia="Times New Roman" w:cs="Times New Roman"/>
          <w:color w:val="000000"/>
        </w:rPr>
        <w:t>IBA</w:t>
      </w:r>
      <w:r>
        <w:rPr>
          <w:rFonts w:ascii="宋体" w:hAnsi="宋体"/>
          <w:color w:val="000000"/>
        </w:rPr>
        <w:t>）和萘乙酸（</w:t>
      </w:r>
      <w:r>
        <w:rPr>
          <w:rFonts w:eastAsia="Times New Roman" w:cs="Times New Roman"/>
          <w:color w:val="000000"/>
        </w:rPr>
        <w:t>NAA</w:t>
      </w:r>
      <w:r>
        <w:rPr>
          <w:rFonts w:ascii="宋体" w:hAnsi="宋体"/>
          <w:color w:val="000000"/>
        </w:rPr>
        <w:t>）对三七外植体进行不定根诱导，实验结果见表。下列分析错误的是（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76"/>
        <w:gridCol w:w="2370"/>
        <w:gridCol w:w="1104"/>
        <w:gridCol w:w="1500"/>
      </w:tblGrid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IBA</w:t>
            </w:r>
            <w:r>
              <w:rPr>
                <w:rFonts w:ascii="宋体" w:hAnsi="宋体"/>
                <w:color w:val="000000"/>
              </w:rPr>
              <w:t>浓度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mg</w:t>
            </w:r>
            <w:r>
              <w:rPr>
                <w:rFonts w:ascii="宋体" w:hAnsi="宋体"/>
                <w:color w:val="000000"/>
              </w:rPr>
              <w:t>·</w:t>
            </w:r>
            <w:r>
              <w:rPr>
                <w:rFonts w:eastAsia="Times New Roman" w:cs="Times New Roman"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NAA</w:t>
            </w:r>
            <w:r>
              <w:rPr>
                <w:rFonts w:ascii="宋体" w:hAnsi="宋体"/>
                <w:color w:val="000000"/>
              </w:rPr>
              <w:t>浓度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mg</w:t>
            </w:r>
            <w:r>
              <w:rPr>
                <w:rFonts w:ascii="宋体" w:hAnsi="宋体"/>
                <w:color w:val="000000"/>
              </w:rPr>
              <w:t>·</w:t>
            </w:r>
            <w:r>
              <w:rPr>
                <w:rFonts w:eastAsia="Times New Roman" w:cs="Times New Roman"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  <w:vertAlign w:val="superscript"/>
              </w:rPr>
              <w:t>-1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诱导率</w:t>
            </w:r>
            <w:r>
              <w:rPr>
                <w:rFonts w:eastAsia="Times New Roman" w:cs="Times New Roman"/>
                <w:color w:val="000000"/>
              </w:rPr>
              <w:t>/%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平均不定根数</w:t>
            </w:r>
          </w:p>
        </w:tc>
      </w:tr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7.1</w:t>
            </w:r>
          </w:p>
        </w:tc>
      </w:tr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8.5</w:t>
            </w:r>
          </w:p>
        </w:tc>
      </w:tr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10.1</w:t>
            </w:r>
          </w:p>
        </w:tc>
      </w:tr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11.6</w:t>
            </w:r>
          </w:p>
        </w:tc>
      </w:tr>
      <w:tr w:rsidR="00ED5803" w:rsidTr="003E739E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5.9</w:t>
            </w:r>
          </w:p>
        </w:tc>
      </w:tr>
    </w:tbl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不同浓度</w:t>
      </w:r>
      <w:r>
        <w:rPr>
          <w:rFonts w:eastAsia="Times New Roman" w:cs="Times New Roman"/>
          <w:color w:val="000000"/>
        </w:rPr>
        <w:t>IBA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NAA</w:t>
      </w:r>
      <w:r>
        <w:rPr>
          <w:rFonts w:ascii="宋体" w:hAnsi="宋体"/>
          <w:color w:val="000000"/>
        </w:rPr>
        <w:t>的组合对不定根的诱导效果不同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NAA</w:t>
      </w:r>
      <w:r>
        <w:rPr>
          <w:rFonts w:ascii="宋体" w:hAnsi="宋体"/>
          <w:color w:val="000000"/>
        </w:rPr>
        <w:t>浓度相同时，</w:t>
      </w:r>
      <w:r>
        <w:rPr>
          <w:rFonts w:eastAsia="Times New Roman" w:cs="Times New Roman"/>
          <w:color w:val="000000"/>
        </w:rPr>
        <w:t>IBA</w:t>
      </w:r>
      <w:r>
        <w:rPr>
          <w:rFonts w:ascii="宋体" w:hAnsi="宋体"/>
          <w:color w:val="000000"/>
        </w:rPr>
        <w:t>浓度越高对不定根的诱导率越高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植物生长调节剂的作用受植物生理状态和环境条件的影响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植物生长调节剂的生产、销售和使用必须遵守国家相关规定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某城市在公园搭建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蚯蚓塔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，蚯蚓以塔内添加的落叶等有机物质为食，从而能更好地生长繁殖。下列分析错误的是（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蚯蚓的摄食等活动有助于加速生态系统的物质循环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蚯蚓数量的增加可提高各营养级间的能量传递效率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蚯蚓塔的设置应考虑土壤动物趋暗和避高温的特性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蚯蚓塔的建造应兼顾生态改良与人居生活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当全球生态足迹总量大于生态承载力（地球提供资源的能力）总量时，地球会进入生态超载状态。下列举措不能减缓生态超载的是（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开展植树造林，增加植物固碳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倡导绿色出行，降低能源消耗</w:t>
      </w:r>
    </w:p>
    <w:p w:rsidR="00ED5803" w:rsidRDefault="009826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扩大采矿规模，提升资源供给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推行生物防治，减少农药使用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植物细胞工程技术可用于马铃薯育种，下列分析错误的是（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将融合的</w:t>
      </w:r>
      <w:r>
        <w:rPr>
          <w:rFonts w:ascii="宋体" w:hAnsi="宋体"/>
          <w:color w:val="000000"/>
        </w:rPr>
        <w:t>原生质体在细胞壁形成前转到固体培养基上，以诱导愈伤组织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用优良栽培品种与抗青枯病野生种进行体细胞杂交，以获得抗病新材料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采集四倍体植株的花粉进行组织培养，以获得单倍体植株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利用茎尖进行组织培养，以培育脱毒苗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分。在每小题给出的四个选项中，有两个或两个以上选项符合题目要求，全部选对得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小立碗藓的叶绿体和线粒体都有为细胞质基质提供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的潜力。为探究两者对细胞质基质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水平的影响，对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组</w:t>
      </w:r>
      <w:r>
        <w:rPr>
          <w:rFonts w:ascii="宋体" w:hAnsi="宋体"/>
          <w:color w:val="000000"/>
        </w:rPr>
        <w:t>小立碗藓进行黑暗预处理后，检测其细胞质基质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对光的响应变化，结果如图所</w:t>
      </w:r>
      <w:r>
        <w:rPr>
          <w:rFonts w:ascii="宋体" w:hAnsi="宋体"/>
          <w:color w:val="000000"/>
        </w:rPr>
        <w:lastRenderedPageBreak/>
        <w:t>示。下列分析正确的是（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795477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9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光合产物的缺乏和光反应受阻导致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在光照下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无显著变化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第一次光照时，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的增加与叶绿体、线粒体均有关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光照时，叶绿体中的部分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用于暗反应中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  <w:vertAlign w:val="subscript"/>
        </w:rPr>
        <w:t>5</w:t>
      </w:r>
      <w:r>
        <w:rPr>
          <w:rFonts w:ascii="宋体" w:hAnsi="宋体"/>
          <w:color w:val="000000"/>
        </w:rPr>
        <w:t>的结合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小立碗藓中的线粒体有助于维持细胞质基质中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的稳定供应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某家禽（性别决定方式为</w:t>
      </w:r>
      <w:r>
        <w:rPr>
          <w:rFonts w:eastAsia="Times New Roman" w:cs="Times New Roman"/>
          <w:color w:val="000000"/>
        </w:rPr>
        <w:t>ZW</w:t>
      </w:r>
      <w:r>
        <w:rPr>
          <w:rFonts w:ascii="宋体" w:hAnsi="宋体"/>
          <w:color w:val="000000"/>
        </w:rPr>
        <w:t>型）的黑羽和灰羽受一对等位基因控制。以黑羽和灰羽个体为亲本进行杂交，部分后代的遗传系谱图如图所示。不考虑突变等其他变异和性染色体同源区段，下列分析正确的是（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00575" cy="22955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黑羽不会由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染色体上的显性基因控制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杂交子代中黑羽个体占比为</w:t>
      </w:r>
      <w:r>
        <w:rPr>
          <w:color w:val="000000"/>
        </w:rPr>
        <w:t>1/2</w:t>
      </w:r>
      <w:r>
        <w:rPr>
          <w:rFonts w:ascii="宋体" w:hAnsi="宋体"/>
          <w:color w:val="000000"/>
        </w:rPr>
        <w:t>，则黑羽为隐性性状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通过调查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-2</w:t>
      </w:r>
      <w:r>
        <w:rPr>
          <w:rFonts w:ascii="宋体" w:hAnsi="宋体"/>
          <w:color w:val="000000"/>
        </w:rPr>
        <w:t>杂交子代的性状和占比，可确定该羽色的遗传方式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若黑羽由常染色体隐性基因控制，</w:t>
      </w:r>
      <w:r>
        <w:rPr>
          <w:rFonts w:ascii="宋体" w:hAnsi="宋体"/>
          <w:color w:val="000000"/>
        </w:rPr>
        <w:t>Ⅲ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Ⅲ</w:t>
      </w:r>
      <w:r>
        <w:rPr>
          <w:rFonts w:eastAsia="Times New Roman" w:cs="Times New Roman"/>
          <w:color w:val="000000"/>
        </w:rPr>
        <w:t>-2</w:t>
      </w:r>
      <w:r>
        <w:rPr>
          <w:rFonts w:ascii="宋体" w:hAnsi="宋体"/>
          <w:color w:val="000000"/>
        </w:rPr>
        <w:t>杂交子代中黑羽个体占比为</w:t>
      </w:r>
      <w:r>
        <w:rPr>
          <w:rFonts w:ascii="宋体" w:hAnsi="宋体"/>
          <w:color w:val="000000"/>
        </w:rPr>
        <w:t>1/4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幽门螺杆菌（</w:t>
      </w:r>
      <w:r>
        <w:rPr>
          <w:rFonts w:eastAsia="Times New Roman" w:cs="Times New Roman"/>
          <w:color w:val="000000"/>
        </w:rPr>
        <w:t>HP</w:t>
      </w:r>
      <w:r>
        <w:rPr>
          <w:rFonts w:ascii="宋体" w:hAnsi="宋体"/>
          <w:color w:val="000000"/>
        </w:rPr>
        <w:t>）释放的毒素可破坏胃黏膜，损伤巨噬细胞，抑制辅助性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细胞的活化，从而对机体造成危害。下列分析正确的是（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毒素会影响</w:t>
      </w:r>
      <w:r>
        <w:rPr>
          <w:rFonts w:eastAsia="Times New Roman" w:cs="Times New Roman"/>
          <w:color w:val="000000"/>
        </w:rPr>
        <w:t>HP</w:t>
      </w:r>
      <w:r>
        <w:rPr>
          <w:rFonts w:ascii="宋体" w:hAnsi="宋体"/>
          <w:color w:val="000000"/>
        </w:rPr>
        <w:t>抗原信息的呈递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HP</w:t>
      </w:r>
      <w:r>
        <w:rPr>
          <w:rFonts w:ascii="宋体" w:hAnsi="宋体"/>
          <w:color w:val="000000"/>
        </w:rPr>
        <w:t>的感染会削弱机体的非特异性免疫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毒素可使患者辅助性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细胞释放的细胞因子减少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毒素作为抗原引发的免疫反应能产生与</w:t>
      </w:r>
      <w:r>
        <w:rPr>
          <w:rFonts w:eastAsia="Times New Roman" w:cs="Times New Roman"/>
          <w:color w:val="000000"/>
        </w:rPr>
        <w:t>HP</w:t>
      </w:r>
      <w:r>
        <w:rPr>
          <w:rFonts w:ascii="宋体" w:hAnsi="宋体"/>
          <w:color w:val="000000"/>
        </w:rPr>
        <w:t>特异性结合的抗体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河北衡水湖是水鸟迁徙的重要驿站。衡水湖西湖区域存在较大面积的鱼塘和农田，东湖长期保持相对稳定的湖泊水面。科研人员对相关区域涉禽类水鸟的多样性进行了研究，结果如图所示。下列分析正确的是（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648075" cy="21240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季节改变导致的涉禽物种组成变化属于次生演替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9—11</w:t>
      </w:r>
      <w:r>
        <w:rPr>
          <w:rFonts w:ascii="宋体" w:hAnsi="宋体"/>
          <w:color w:val="000000"/>
        </w:rPr>
        <w:t>月调查区域中涉禽数量的减少主要是水鸟迁出所致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建立衡水湖自然保护区可对该地水鸟的物种多样性进行有效保护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生境差异是</w:t>
      </w:r>
      <w:r>
        <w:rPr>
          <w:rFonts w:eastAsia="Times New Roman" w:cs="Times New Roman"/>
          <w:color w:val="000000"/>
        </w:rPr>
        <w:t>3—7</w:t>
      </w:r>
      <w:r>
        <w:rPr>
          <w:rFonts w:ascii="宋体" w:hAnsi="宋体"/>
          <w:color w:val="000000"/>
        </w:rPr>
        <w:t>月衡水湖东湖、西湖涉禽数量显著不同的重要原因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窖泥中的微生物是影响白酒风味的因素之一。现从某酒厂窖泥中分离筛选与白酒风味物质形成相关的己酸菌，下列分析错误的是（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分离培养己酸菌时，需对培养基、培养皿和窖泥进行灭菌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通过稀释涂布平板法统计的菌落数一般比活菌的实际数偏多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依据己</w:t>
      </w:r>
      <w:r>
        <w:rPr>
          <w:rFonts w:ascii="宋体" w:hAnsi="宋体"/>
          <w:color w:val="000000"/>
        </w:rPr>
        <w:t>酸菌的特异基因序列设计引物，可通过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对目的菌株进行鉴定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获得的己酸菌优良菌种需扩大培养后再用于白酒的规模化生产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59</w:t>
      </w:r>
      <w:r>
        <w:rPr>
          <w:rFonts w:ascii="宋体" w:hAnsi="宋体"/>
          <w:b/>
          <w:color w:val="000000"/>
          <w:sz w:val="24"/>
        </w:rPr>
        <w:t>分。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是植物线粒体膜上转运丙酮酸的蛋白。为探究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蛋白对植物镉耐受性的影响，科研人员利用拟南芥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基因缺失突变体进行了相关研究。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利用葡萄糖进行有氧呼吸时，丙酮酸是第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阶段的产物，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主要在第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阶段生成。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无镉胁迫时，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缺失突变体细胞质基质中丙酮酸的含量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野生型。受到镉胁迫时，拟南芥可通过主动运输将镉排出胞外以缓解毒害，推测此时野生型中有氧呼吸强度会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谷氨酸是植物合成谷胱甘肽的主要原料，在丙酮酸供应不足时也可用于维系有氧呼吸的正常运转，无镉胁迫时，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缺失突变体和野生型的根长无显著差异，而突变体谷胱甘肽含量显著低于野生型，推测造成此现象的原因是</w:t>
      </w:r>
      <w:r>
        <w:rPr>
          <w:color w:val="000000"/>
        </w:rPr>
        <w:t>_________________________________________________________________________________________________</w:t>
      </w:r>
      <w:r>
        <w:rPr>
          <w:color w:val="000000"/>
        </w:rPr>
        <w:t>_______________________________________________________________</w:t>
      </w:r>
      <w:r>
        <w:rPr>
          <w:rFonts w:ascii="宋体" w:hAnsi="宋体"/>
          <w:color w:val="000000"/>
        </w:rPr>
        <w:t>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拟南芥还可通过谷胱甘肽结合镉以减轻毒害。镉胁迫时，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缺失突变体中谷胱甘肽含量显著高于野生型，结合下图根长数据分析，相较于野生型，此时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缺失突变体根细胞中的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生成量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，其原因是</w:t>
      </w:r>
      <w:r>
        <w:rPr>
          <w:color w:val="000000"/>
        </w:rPr>
        <w:t>__________________________________________________________________________________</w:t>
      </w:r>
      <w:r>
        <w:rPr>
          <w:rFonts w:ascii="宋体" w:hAnsi="宋体"/>
          <w:color w:val="000000"/>
        </w:rPr>
        <w:t>。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04457" cy="2134200"/>
            <wp:effectExtent l="0" t="0" r="571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27996" cy="2150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土壤含盐量过高不利于植物生长。柽柳可明显改善盐碱地土壤微环境，对当地群落结构有重要影响。科研人员对某滨海盐碱地植物群落中柽柳的作用进行了相关研究。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采用样方法调查柽柳种群密度时，若柽柳个体数量较少，可采取的措施是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。研究柽柳生态位时，除种群密度外，还应研究</w:t>
      </w:r>
      <w:r>
        <w:rPr>
          <w:color w:val="000000"/>
        </w:rPr>
        <w:t>_________________________________________</w:t>
      </w:r>
      <w:r>
        <w:rPr>
          <w:rFonts w:ascii="宋体" w:hAnsi="宋体"/>
          <w:color w:val="000000"/>
        </w:rPr>
        <w:t>。（答出两点）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通过栽种柽柳人工林对滨海盐碱地进行生态修复，可增加该地的物种多样性，从而提高生态系统的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稳定性，这体现了生物多样性的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价值。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选取地下水埋藏深度不同的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个区域</w:t>
      </w:r>
      <w:r>
        <w:rPr>
          <w:rFonts w:eastAsia="Times New Roman" w:cs="Times New Roman"/>
          <w:color w:val="000000"/>
        </w:rPr>
        <w:t>W1—W5</w:t>
      </w:r>
      <w:r>
        <w:rPr>
          <w:rFonts w:ascii="宋体" w:hAnsi="宋体"/>
          <w:color w:val="000000"/>
        </w:rPr>
        <w:t>，对其土壤含盐量和植物的物种多样性进行调查，结果如图、表所示。随着地下水埋藏深度增加造成的土壤含盐量改变，该地植物的物种多样性变化是</w:t>
      </w:r>
      <w:r>
        <w:rPr>
          <w:color w:val="000000"/>
        </w:rPr>
        <w:t>__________________________</w:t>
      </w:r>
      <w:r>
        <w:rPr>
          <w:rFonts w:ascii="宋体" w:hAnsi="宋体"/>
          <w:color w:val="000000"/>
        </w:rPr>
        <w:t>。</w:t>
      </w:r>
    </w:p>
    <w:tbl>
      <w:tblPr>
        <w:tblW w:w="8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20"/>
        <w:gridCol w:w="1401"/>
        <w:gridCol w:w="1401"/>
        <w:gridCol w:w="1401"/>
        <w:gridCol w:w="1401"/>
        <w:gridCol w:w="1401"/>
      </w:tblGrid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主要植物</w:t>
            </w:r>
          </w:p>
        </w:tc>
        <w:tc>
          <w:tcPr>
            <w:tcW w:w="225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重要值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种类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W1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W2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W3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W4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W5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柽柳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0.27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0.29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0.27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盐地碱蓬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0.31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0.29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芦苇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0.19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白茅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0.07</w:t>
            </w:r>
          </w:p>
        </w:tc>
      </w:tr>
    </w:tbl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注：重要值越大，物种越占优势。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33750" cy="24288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盐碱地中的柽柳可在其周围形成低盐、低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和高有机质的优化区域，对群落的物种多样性具有促进效应。结合图、表推测，</w:t>
      </w:r>
      <w:r>
        <w:rPr>
          <w:rFonts w:eastAsia="Times New Roman" w:cs="Times New Roman"/>
          <w:color w:val="000000"/>
        </w:rPr>
        <w:t>W4</w:t>
      </w:r>
      <w:r>
        <w:rPr>
          <w:rFonts w:ascii="宋体" w:hAnsi="宋体"/>
          <w:color w:val="000000"/>
        </w:rPr>
        <w:t>区域中植物种类最多的原因是</w:t>
      </w:r>
      <w:r>
        <w:rPr>
          <w:color w:val="000000"/>
        </w:rPr>
        <w:t>____________________________________________________________________________________________________________________</w:t>
      </w:r>
      <w:r>
        <w:rPr>
          <w:rFonts w:ascii="宋体" w:hAnsi="宋体"/>
          <w:color w:val="000000"/>
        </w:rPr>
        <w:t>。（答出两点）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咳嗽是一种反射性防御动作。机体通过咳嗽可清除呼吸道内的异物或分泌物，防止其阻塞呼吸道。回答下列问题：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相关感受器受刺激产生的兴奋传导至脑干咳嗽中枢，立即引发咳嗽，此过程属于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反射。人体也可由大脑皮层通过脑干控制咳嗽，这体现了神经系统的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调节。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花粉过敏能引发咳嗽。花粉过敏者再次吸入的花粉会与吸附在肥大细胞表面的相应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结合，使这些细胞释放组胺，引发咳嗽。如图所示，组胺释放可导致组织液中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因子的增加，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可激活</w:t>
      </w:r>
      <w:r>
        <w:rPr>
          <w:color w:val="000000"/>
        </w:rPr>
        <w:t>Ca</w:t>
      </w:r>
      <w:r>
        <w:rPr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通道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。分析图中的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引发咳嗽相关感受器兴奋的机制：</w:t>
      </w:r>
      <w:r>
        <w:rPr>
          <w:color w:val="000000"/>
        </w:rPr>
        <w:t>_________________________________________</w:t>
      </w:r>
      <w:r>
        <w:rPr>
          <w:rFonts w:ascii="宋体" w:hAnsi="宋体"/>
          <w:color w:val="000000"/>
        </w:rPr>
        <w:t>。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28900" cy="1971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科研人员研制出一种可镇咳的新药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，为探究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的药效是否优于常用镇咳药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，现以生理盐水、浓</w:t>
      </w:r>
      <w:r>
        <w:rPr>
          <w:rFonts w:ascii="宋体" w:hAnsi="宋体"/>
          <w:color w:val="000000"/>
        </w:rPr>
        <w:lastRenderedPageBreak/>
        <w:t>氨水（处理小鼠可引发咳嗽）、镇咳药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、镇咳药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为实验试剂，对健康小鼠进行分组实验。请完善下列分组处理方案：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生理盐水处理、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_______________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>_______________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④</w:t>
      </w:r>
      <w:r>
        <w:rPr>
          <w:color w:val="000000"/>
        </w:rPr>
        <w:t>__________________</w:t>
      </w:r>
      <w:r>
        <w:rPr>
          <w:rFonts w:ascii="宋体" w:hAnsi="宋体"/>
          <w:color w:val="000000"/>
        </w:rPr>
        <w:t>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咳嗽患者伴有咳痰，痰液不易咳出时，需谨慎使用镇咳药，原因是</w:t>
      </w:r>
      <w:r>
        <w:rPr>
          <w:color w:val="000000"/>
        </w:rPr>
        <w:t>__</w:t>
      </w:r>
      <w:r>
        <w:rPr>
          <w:color w:val="000000"/>
        </w:rPr>
        <w:t>_________________________________________________________________________</w:t>
      </w:r>
      <w:r>
        <w:rPr>
          <w:rFonts w:ascii="宋体" w:hAnsi="宋体"/>
          <w:color w:val="000000"/>
        </w:rPr>
        <w:t>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黑曲霉中的淀粉酶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能直接将不经高温处理的淀粉降解为葡萄糖。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基因的表达受</w:t>
      </w:r>
      <w:r>
        <w:rPr>
          <w:rFonts w:eastAsia="Times New Roman" w:cs="Times New Roman"/>
          <w:color w:val="000000"/>
        </w:rPr>
        <w:t>CreA</w:t>
      </w:r>
      <w:r>
        <w:rPr>
          <w:rFonts w:ascii="宋体" w:hAnsi="宋体"/>
          <w:color w:val="000000"/>
        </w:rPr>
        <w:t>蛋白抑制。研究者利用基因工程手段，抑制了黑曲霉</w:t>
      </w:r>
      <w:r>
        <w:rPr>
          <w:rFonts w:eastAsia="Times New Roman" w:cs="Times New Roman"/>
          <w:color w:val="000000"/>
        </w:rPr>
        <w:t>CreA</w:t>
      </w:r>
      <w:r>
        <w:rPr>
          <w:rFonts w:ascii="宋体" w:hAnsi="宋体"/>
          <w:color w:val="000000"/>
        </w:rPr>
        <w:t>基因的表达，并进行了相关检测。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黑曲霉菌种的分离纯化应选用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固体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液体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）培养基。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细胞中具有特定结构的双链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可被相关酶识别并降解为小片段。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小片段可识别与自身序列互补的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，引导该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发生降解。如图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所示，为使含片段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的转录产物能按照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原则自身折叠形成双链，扩增</w:t>
      </w:r>
      <w:r>
        <w:rPr>
          <w:rFonts w:eastAsia="Times New Roman" w:cs="Times New Roman"/>
          <w:color w:val="000000"/>
        </w:rPr>
        <w:t>CreA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片段时，可在两个引物的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端分别添加两个限制酶识别序列。一部分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产物用限制酶</w:t>
      </w:r>
      <w:r>
        <w:rPr>
          <w:rFonts w:eastAsia="Times New Roman" w:cs="Times New Roman"/>
          <w:color w:val="000000"/>
        </w:rPr>
        <w:t>Kpn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Spe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酶切连接到载体中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所在的位置，另一部分再用限制酶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构建到载体中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所在的位置。因此可判断，限制酶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应该是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924173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2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构建的基因表达载体除含有启动子、终止子和目的基因外，还需具有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基因，以使表达载体转</w:t>
      </w:r>
      <w:r>
        <w:rPr>
          <w:rFonts w:ascii="宋体" w:hAnsi="宋体"/>
          <w:color w:val="000000"/>
        </w:rPr>
        <w:t>入受体细胞后可利用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培养基筛选出转基因成功的菌株。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构建的表达载体转入菌株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获得</w:t>
      </w:r>
      <w:r>
        <w:rPr>
          <w:rFonts w:eastAsia="Times New Roman" w:cs="Times New Roman"/>
          <w:color w:val="000000"/>
        </w:rPr>
        <w:t>G1</w:t>
      </w:r>
      <w:r>
        <w:rPr>
          <w:rFonts w:ascii="宋体" w:hAnsi="宋体"/>
          <w:color w:val="000000"/>
        </w:rPr>
        <w:t>，将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G1</w:t>
      </w:r>
      <w:r>
        <w:rPr>
          <w:rFonts w:ascii="宋体" w:hAnsi="宋体"/>
          <w:color w:val="000000"/>
        </w:rPr>
        <w:t>在相同且适宜的条件下培养，对其生长状况和菌液的淀粉酶活力进行检测，实验结果（图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）表明</w:t>
      </w:r>
      <w:r>
        <w:rPr>
          <w:color w:val="000000"/>
        </w:rPr>
        <w:t>_______________________________________________________________</w:t>
      </w:r>
      <w:r>
        <w:rPr>
          <w:rFonts w:ascii="宋体" w:hAnsi="宋体"/>
          <w:color w:val="000000"/>
        </w:rPr>
        <w:t>。（答出两点）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771775" cy="2047875"/>
            <wp:effectExtent l="0" t="0" r="0" b="0"/>
            <wp:docPr id="1793212893" name="图片 17932128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21289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传统工艺中需对淀粉进行高温糊化、淀粉酶液化和糖化酶糖化等处理，才可获得葡萄糖。相较于传统工艺，对淀粉酶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的研发利用所体现的优势是</w:t>
      </w:r>
      <w:r>
        <w:rPr>
          <w:color w:val="000000"/>
        </w:rPr>
        <w:t>______________</w:t>
      </w:r>
      <w:r>
        <w:rPr>
          <w:color w:val="000000"/>
        </w:rPr>
        <w:t>__________________________________</w:t>
      </w:r>
      <w:r>
        <w:rPr>
          <w:rFonts w:ascii="宋体" w:hAnsi="宋体"/>
          <w:color w:val="000000"/>
        </w:rPr>
        <w:t>。（答出两点）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根据开花的特点，辣椒植株的花型可分为单花、中花和多花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种类型。为探究该性状的遗传规律，研究者利用甲、乙和丙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种单花纯合体进行了杂交实验，结果见表。</w:t>
      </w:r>
    </w:p>
    <w:tbl>
      <w:tblPr>
        <w:tblW w:w="8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74"/>
        <w:gridCol w:w="2073"/>
        <w:gridCol w:w="2073"/>
        <w:gridCol w:w="2105"/>
      </w:tblGrid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实验编号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杂交组合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宋体" w:hAnsi="宋体"/>
                <w:color w:val="000000"/>
              </w:rPr>
              <w:t>表型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宋体" w:hAnsi="宋体"/>
                <w:color w:val="000000"/>
              </w:rPr>
              <w:t>表型及比例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  <w:r>
              <w:rPr>
                <w:rFonts w:eastAsia="Times New Roman" w:cs="Times New Roman"/>
                <w:color w:val="000000"/>
              </w:rPr>
              <w:t>×</w:t>
            </w: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多花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多花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ascii="宋体" w:hAnsi="宋体"/>
                <w:color w:val="000000"/>
              </w:rPr>
              <w:t>单花</w:t>
            </w:r>
            <w:r>
              <w:rPr>
                <w:rFonts w:eastAsia="Times New Roman" w:cs="Times New Roman"/>
                <w:color w:val="000000"/>
              </w:rPr>
              <w:t>=9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  <w:r>
              <w:rPr>
                <w:rFonts w:eastAsia="Times New Roman" w:cs="Times New Roman"/>
                <w:color w:val="000000"/>
              </w:rPr>
              <w:t>×</w:t>
            </w: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多花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多花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ascii="宋体" w:hAnsi="宋体"/>
                <w:color w:val="000000"/>
              </w:rPr>
              <w:t>单花</w:t>
            </w:r>
            <w:r>
              <w:rPr>
                <w:rFonts w:eastAsia="Times New Roman" w:cs="Times New Roman"/>
                <w:color w:val="000000"/>
              </w:rPr>
              <w:t>=9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</w:tr>
      <w:tr w:rsidR="00ED5803" w:rsidTr="003E739E">
        <w:trPr>
          <w:jc w:val="center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  <w:r>
              <w:rPr>
                <w:rFonts w:eastAsia="Times New Roman" w:cs="Times New Roman"/>
                <w:color w:val="000000"/>
              </w:rPr>
              <w:t>×</w:t>
            </w: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中花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D5803" w:rsidRDefault="0098265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中花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ascii="宋体" w:hAnsi="宋体"/>
                <w:color w:val="000000"/>
              </w:rPr>
              <w:t>单花</w:t>
            </w:r>
            <w:r>
              <w:rPr>
                <w:rFonts w:eastAsia="Times New Roman" w:cs="Times New Roman"/>
                <w:color w:val="000000"/>
              </w:rPr>
              <w:t>=9</w:t>
            </w:r>
            <w:r>
              <w:rPr>
                <w:rFonts w:ascii="宋体" w:hAnsi="宋体"/>
                <w:color w:val="000000"/>
              </w:rPr>
              <w:t>∶</w:t>
            </w:r>
            <w:r>
              <w:rPr>
                <w:rFonts w:eastAsia="Times New Roman" w:cs="Times New Roman"/>
                <w:color w:val="000000"/>
              </w:rPr>
              <w:t>7</w:t>
            </w:r>
          </w:p>
        </w:tc>
      </w:tr>
    </w:tbl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根据实验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结果推断，控制花型的基因遗传遵循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定律。实验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单花个体中，纯合体占比为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。利用甲和实验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进行杂交，子代中多花占比为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个杂交实验结果判断，控制花型的基因至少涉及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对。因此推测，上述实验中表现出多花的辣椒植株，必须具有甲中参与控制多花的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显性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隐性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）基因，该等位基因用</w:t>
      </w:r>
      <w:r>
        <w:rPr>
          <w:rFonts w:eastAsia="Times New Roman" w:cs="Times New Roman"/>
          <w:color w:val="000000"/>
        </w:rPr>
        <w:t>A/a</w:t>
      </w:r>
      <w:r>
        <w:rPr>
          <w:rFonts w:ascii="宋体" w:hAnsi="宋体"/>
          <w:color w:val="000000"/>
        </w:rPr>
        <w:t>表示。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现将实验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和丙杂交，对其子代单株和甲、丙的</w:t>
      </w:r>
      <w:r>
        <w:rPr>
          <w:rFonts w:eastAsia="Times New Roman" w:cs="Times New Roman"/>
          <w:color w:val="000000"/>
        </w:rPr>
        <w:t>A/a</w:t>
      </w:r>
      <w:r>
        <w:rPr>
          <w:rFonts w:ascii="宋体" w:hAnsi="宋体"/>
          <w:color w:val="000000"/>
        </w:rPr>
        <w:t>基因进行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扩增，产物经酶切后电泳结果的带型如图所示。若（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）中的推测正确，在图中将多花和中花植株检测结果对应位置的条带涂黑，杂交子代中，电泳结果与亲本丙相同的个体理论上占比为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ED5803" w:rsidRDefault="0098265B" w:rsidP="003E739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171825" cy="12287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现有多株基因型相同的中花辣椒植株，从亲本甲、乙和丙中选择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与该类植株杂交，根据子一代表型及比例即可确定其基因型。</w:t>
      </w:r>
      <w:r>
        <w:rPr>
          <w:color w:val="000000"/>
        </w:rPr>
        <w:br w:type="page"/>
      </w:r>
    </w:p>
    <w:p w:rsidR="00ED5803" w:rsidRDefault="0098265B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32"/>
        </w:rPr>
        <w:lastRenderedPageBreak/>
        <w:t>2026</w:t>
      </w:r>
      <w:r>
        <w:rPr>
          <w:rFonts w:ascii="宋体" w:hAnsi="宋体"/>
          <w:b/>
          <w:color w:val="000000"/>
          <w:sz w:val="32"/>
        </w:rPr>
        <w:t>年普通高中学业水平选择性考试（河北卷）</w:t>
      </w:r>
    </w:p>
    <w:p w:rsidR="00ED5803" w:rsidRDefault="0098265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32"/>
        </w:rPr>
        <w:t>生物学</w:t>
      </w:r>
    </w:p>
    <w:p w:rsidR="00ED5803" w:rsidRDefault="0098265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本试卷满分</w:t>
      </w:r>
      <w:r>
        <w:rPr>
          <w:rFonts w:eastAsia="Times New Roman" w:cs="Times New Roman"/>
          <w:b/>
          <w:color w:val="000000"/>
          <w:sz w:val="24"/>
        </w:rPr>
        <w:t>100</w:t>
      </w:r>
      <w:r>
        <w:rPr>
          <w:rFonts w:ascii="宋体" w:hAnsi="宋体"/>
          <w:b/>
          <w:color w:val="000000"/>
          <w:sz w:val="24"/>
        </w:rPr>
        <w:t>分，考试时间</w:t>
      </w:r>
      <w:r>
        <w:rPr>
          <w:rFonts w:eastAsia="Times New Roman" w:cs="Times New Roman"/>
          <w:b/>
          <w:color w:val="000000"/>
          <w:sz w:val="24"/>
        </w:rPr>
        <w:t>75</w:t>
      </w:r>
      <w:r>
        <w:rPr>
          <w:rFonts w:ascii="宋体" w:hAnsi="宋体"/>
          <w:b/>
          <w:color w:val="000000"/>
          <w:sz w:val="24"/>
        </w:rPr>
        <w:t>分钟。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一、单项选择题：本题共</w:t>
      </w:r>
      <w:r>
        <w:rPr>
          <w:rFonts w:eastAsia="Times New Roman" w:cs="Times New Roman"/>
          <w:b/>
          <w:color w:val="000000"/>
          <w:sz w:val="24"/>
        </w:rPr>
        <w:t>13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分。在每小题给出的四个选项中，只有一项是符合题目要求的。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3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4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5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6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7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8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9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10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11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12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13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A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分。在每小题给出的四个选项中，有两个或两个以上选项符合题目要求，全部选对得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14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15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16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17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18</w:t>
      </w:r>
      <w:r>
        <w:rPr>
          <w:color w:val="2E75B6"/>
        </w:rPr>
        <w:t>题答案】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59</w:t>
      </w:r>
      <w:r>
        <w:rPr>
          <w:rFonts w:ascii="宋体" w:hAnsi="宋体"/>
          <w:b/>
          <w:color w:val="000000"/>
          <w:sz w:val="24"/>
        </w:rPr>
        <w:t>分。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19</w:t>
      </w:r>
      <w:r>
        <w:rPr>
          <w:color w:val="2E75B6"/>
        </w:rPr>
        <w:t>题答案】</w:t>
      </w:r>
    </w:p>
    <w:p w:rsidR="003E739E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一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三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高于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增强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M</w:t>
      </w:r>
      <w:r>
        <w:rPr>
          <w:color w:val="000000"/>
        </w:rPr>
        <w:t>缺失突变体中丙酮酸进入线粒体受阻，有氧呼吸丙酮酸供应不足，谷氨酸更多用于维系有氧呼吸的正常运转，用于合成谷胱甘肽的谷氨酸减少，因此谷胱甘肽含量显著低于野生型；而有氧呼吸的能量供应未受明显影响，根长无显著差异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减少</w:t>
      </w:r>
      <w:r>
        <w:rPr>
          <w:color w:val="000000"/>
        </w:rPr>
        <w:t xml:space="preserve">    </w:t>
      </w:r>
      <w:r>
        <w:rPr>
          <w:color w:val="000000"/>
        </w:rPr>
        <w:t xml:space="preserve"> M</w:t>
      </w:r>
      <w:r>
        <w:rPr>
          <w:color w:val="000000"/>
        </w:rPr>
        <w:t>缺失突变体中丙酮酸进入线粒体受阻，有氧呼吸减弱，</w:t>
      </w:r>
      <w:r>
        <w:rPr>
          <w:color w:val="000000"/>
        </w:rPr>
        <w:t>ATP</w:t>
      </w:r>
      <w:r>
        <w:rPr>
          <w:color w:val="000000"/>
        </w:rPr>
        <w:t>生成减少；同时合成更多谷胱甘肽消耗了大量谷氨酸，可用于维系有氧呼吸的谷氨酸减少，进一步降低有氧呼吸强度，</w:t>
      </w:r>
      <w:r>
        <w:rPr>
          <w:color w:val="000000"/>
        </w:rPr>
        <w:t>ATP</w:t>
      </w:r>
      <w:r>
        <w:rPr>
          <w:color w:val="000000"/>
        </w:rPr>
        <w:t>生成量减少，根生长受抑制更明显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20</w:t>
      </w:r>
      <w:r>
        <w:rPr>
          <w:color w:val="2E75B6"/>
        </w:rPr>
        <w:t>题答案】</w:t>
      </w:r>
    </w:p>
    <w:p w:rsidR="003E739E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适当扩大样方面积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柽柳在该区域出现的频率、植株高度等特征，以及它与其他物种的关系等</w:t>
      </w:r>
      <w:r>
        <w:rPr>
          <w:color w:val="000000"/>
        </w:rPr>
        <w:t xml:space="preserve">    </w:t>
      </w:r>
    </w:p>
    <w:p w:rsidR="003E739E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抵抗力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间接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）先增加后减少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柽柳在</w:t>
      </w:r>
      <w:r>
        <w:rPr>
          <w:color w:val="000000"/>
        </w:rPr>
        <w:t>W4</w:t>
      </w:r>
      <w:r>
        <w:rPr>
          <w:color w:val="000000"/>
        </w:rPr>
        <w:t>区域占优势，改善了土壤微环境，形成低盐、低</w:t>
      </w:r>
      <w:r>
        <w:rPr>
          <w:color w:val="000000"/>
        </w:rPr>
        <w:t>pH</w:t>
      </w:r>
      <w:r>
        <w:rPr>
          <w:color w:val="000000"/>
        </w:rPr>
        <w:t>和高有机质的优化区域，利于多种植物生长；</w:t>
      </w:r>
      <w:r>
        <w:rPr>
          <w:color w:val="000000"/>
        </w:rPr>
        <w:t>W4</w:t>
      </w:r>
      <w:r>
        <w:rPr>
          <w:color w:val="000000"/>
        </w:rPr>
        <w:t>区域土壤含盐量适宜，有利于多种植物生长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lastRenderedPageBreak/>
        <w:t>【</w:t>
      </w:r>
      <w:r>
        <w:rPr>
          <w:color w:val="2E75B6"/>
        </w:rPr>
        <w:t>21</w:t>
      </w:r>
      <w:r>
        <w:rPr>
          <w:color w:val="2E75B6"/>
        </w:rPr>
        <w:t>题答案】</w:t>
      </w:r>
    </w:p>
    <w:p w:rsidR="003E739E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非条件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分级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抗体</w:t>
      </w:r>
      <w:r>
        <w:rPr>
          <w:color w:val="000000"/>
        </w:rPr>
        <w:t xml:space="preserve">    </w:t>
      </w:r>
      <w:r>
        <w:rPr>
          <w:color w:val="000000"/>
        </w:rPr>
        <w:t xml:space="preserve"> A</w:t>
      </w:r>
      <w:r>
        <w:rPr>
          <w:color w:val="000000"/>
        </w:rPr>
        <w:t>因子激活</w:t>
      </w:r>
      <w:r>
        <w:rPr>
          <w:color w:val="000000"/>
        </w:rPr>
        <w:t>Ca</w:t>
      </w:r>
      <w:r>
        <w:rPr>
          <w:color w:val="000000"/>
          <w:vertAlign w:val="superscript"/>
        </w:rPr>
        <w:t>2+</w:t>
      </w:r>
      <w:r>
        <w:rPr>
          <w:color w:val="000000"/>
        </w:rPr>
        <w:t>通道</w:t>
      </w:r>
      <w:r>
        <w:rPr>
          <w:color w:val="000000"/>
        </w:rPr>
        <w:t>T</w:t>
      </w:r>
      <w:r>
        <w:rPr>
          <w:color w:val="000000"/>
        </w:rPr>
        <w:t>，</w:t>
      </w:r>
      <w:r>
        <w:rPr>
          <w:color w:val="000000"/>
        </w:rPr>
        <w:t>Ca</w:t>
      </w:r>
      <w:r>
        <w:rPr>
          <w:color w:val="000000"/>
          <w:vertAlign w:val="superscript"/>
        </w:rPr>
        <w:t>2+</w:t>
      </w:r>
      <w:r>
        <w:rPr>
          <w:color w:val="000000"/>
        </w:rPr>
        <w:t>内流；</w:t>
      </w:r>
      <w:r>
        <w:rPr>
          <w:color w:val="000000"/>
        </w:rPr>
        <w:t>Ca</w:t>
      </w:r>
      <w:r>
        <w:rPr>
          <w:color w:val="000000"/>
          <w:vertAlign w:val="superscript"/>
        </w:rPr>
        <w:t>2+</w:t>
      </w:r>
      <w:r>
        <w:rPr>
          <w:color w:val="000000"/>
        </w:rPr>
        <w:t>进一步激活</w:t>
      </w:r>
      <w:r>
        <w:rPr>
          <w:color w:val="000000"/>
        </w:rPr>
        <w:t>Na</w:t>
      </w:r>
      <w:r>
        <w:rPr>
          <w:color w:val="000000"/>
          <w:vertAlign w:val="superscript"/>
        </w:rPr>
        <w:t>+</w:t>
      </w:r>
      <w:r>
        <w:rPr>
          <w:color w:val="000000"/>
        </w:rPr>
        <w:t>通道，</w:t>
      </w:r>
      <w:r>
        <w:rPr>
          <w:color w:val="000000"/>
        </w:rPr>
        <w:t>Na</w:t>
      </w:r>
      <w:r>
        <w:rPr>
          <w:color w:val="000000"/>
          <w:vertAlign w:val="superscript"/>
        </w:rPr>
        <w:t>+</w:t>
      </w:r>
      <w:r>
        <w:rPr>
          <w:color w:val="000000"/>
        </w:rPr>
        <w:t>大量内流，感受器产生动作电位，引发兴奋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适量镇咳药</w:t>
      </w:r>
      <w:r>
        <w:rPr>
          <w:color w:val="000000"/>
        </w:rPr>
        <w:t>C</w:t>
      </w:r>
      <w:r>
        <w:rPr>
          <w:color w:val="000000"/>
        </w:rPr>
        <w:t>处理</w:t>
      </w:r>
      <w:r>
        <w:rPr>
          <w:color w:val="000000"/>
        </w:rPr>
        <w:t>+</w:t>
      </w:r>
      <w:r>
        <w:rPr>
          <w:color w:val="000000"/>
        </w:rPr>
        <w:t>适量浓氨水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适量镇咳药</w:t>
      </w:r>
      <w:r>
        <w:rPr>
          <w:color w:val="000000"/>
        </w:rPr>
        <w:t>D</w:t>
      </w:r>
      <w:r>
        <w:rPr>
          <w:color w:val="000000"/>
        </w:rPr>
        <w:t>处理</w:t>
      </w:r>
      <w:r>
        <w:rPr>
          <w:color w:val="000000"/>
        </w:rPr>
        <w:t>+</w:t>
      </w:r>
      <w:r>
        <w:rPr>
          <w:color w:val="000000"/>
        </w:rPr>
        <w:t>适量浓氨水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适量浓氨水刺激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）镇咳药抑制咳嗽反射，痰液无法及时排出，堵塞呼吸道，还易滋生细菌，加重呼吸道感染，加重病情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22</w:t>
      </w:r>
      <w:r>
        <w:rPr>
          <w:color w:val="2E75B6"/>
        </w:rPr>
        <w:t>题答案】</w:t>
      </w:r>
    </w:p>
    <w:p w:rsidR="003E739E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）固体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碱基互补配对</w:t>
      </w:r>
      <w:r>
        <w:rPr>
          <w:color w:val="000000"/>
        </w:rPr>
        <w:t xml:space="preserve">    </w:t>
      </w:r>
      <w:r>
        <w:rPr>
          <w:color w:val="000000"/>
        </w:rPr>
        <w:t xml:space="preserve"> 5′    </w:t>
      </w:r>
      <w:r>
        <w:rPr>
          <w:color w:val="000000"/>
        </w:rPr>
        <w:t xml:space="preserve"> </w:t>
      </w:r>
      <w:r>
        <w:rPr>
          <w:i/>
          <w:color w:val="000000"/>
        </w:rPr>
        <w:t xml:space="preserve">Sac </w:t>
      </w:r>
      <w:r w:rsidR="003E739E">
        <w:rPr>
          <w:color w:val="000000"/>
        </w:rPr>
        <w:t>Ⅰ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标记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选择</w:t>
      </w:r>
      <w:r>
        <w:rPr>
          <w:color w:val="000000"/>
        </w:rPr>
        <w:t xml:space="preserve">    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①</w:t>
      </w:r>
      <w:r>
        <w:rPr>
          <w:color w:val="000000"/>
        </w:rPr>
        <w:t>抑制</w:t>
      </w:r>
      <w:r>
        <w:rPr>
          <w:i/>
          <w:color w:val="000000"/>
        </w:rPr>
        <w:t>CreA</w:t>
      </w:r>
      <w:r>
        <w:rPr>
          <w:color w:val="000000"/>
        </w:rPr>
        <w:t>基因的表达对黑曲霉的生长（生物量）无显著影响；</w:t>
      </w:r>
      <w:r>
        <w:rPr>
          <w:color w:val="000000"/>
        </w:rPr>
        <w:t>②</w:t>
      </w:r>
      <w:r>
        <w:rPr>
          <w:color w:val="000000"/>
        </w:rPr>
        <w:t>抑制</w:t>
      </w:r>
      <w:r>
        <w:rPr>
          <w:i/>
          <w:color w:val="000000"/>
        </w:rPr>
        <w:t>CreA</w:t>
      </w:r>
      <w:r>
        <w:rPr>
          <w:color w:val="000000"/>
        </w:rPr>
        <w:t>基因的表达可显著提高黑曲霉的淀粉酶活力</w:t>
      </w:r>
      <w:r>
        <w:rPr>
          <w:color w:val="000000"/>
        </w:rPr>
        <w:t xml:space="preserve">    </w:t>
      </w:r>
    </w:p>
    <w:p w:rsidR="00ED5803" w:rsidRDefault="0098265B" w:rsidP="003E739E">
      <w:pPr>
        <w:spacing w:line="360" w:lineRule="auto"/>
        <w:textAlignment w:val="center"/>
        <w:rPr>
          <w:rFonts w:hint="eastAsia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color w:val="000000"/>
        </w:rPr>
        <w:t>①</w:t>
      </w:r>
      <w:r>
        <w:rPr>
          <w:color w:val="000000"/>
        </w:rPr>
        <w:t>省去高温糊化、液化步骤，节约能源，简化工艺流程，降低生产成本；</w:t>
      </w:r>
      <w:r>
        <w:rPr>
          <w:color w:val="000000"/>
        </w:rPr>
        <w:t>②</w:t>
      </w:r>
      <w:r>
        <w:rPr>
          <w:color w:val="000000"/>
        </w:rPr>
        <w:t>酶促反应条件温和，副产物少，产物纯度更高</w:t>
      </w:r>
    </w:p>
    <w:p w:rsidR="00ED5803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23</w:t>
      </w:r>
      <w:r>
        <w:rPr>
          <w:color w:val="2E75B6"/>
        </w:rPr>
        <w:t>题答案】</w:t>
      </w:r>
    </w:p>
    <w:p w:rsidR="003E739E" w:rsidRDefault="0098265B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基因的自由组合（分离定律和自由组合）</w:t>
      </w:r>
      <w:r>
        <w:rPr>
          <w:color w:val="000000"/>
        </w:rPr>
        <w:t xml:space="preserve">    </w:t>
      </w:r>
      <w:r>
        <w:rPr>
          <w:color w:val="000000"/>
        </w:rPr>
        <w:t xml:space="preserve"> 3/7    </w:t>
      </w:r>
      <w:r w:rsidR="003E739E">
        <w:rPr>
          <w:color w:val="000000"/>
        </w:rPr>
        <w:t xml:space="preserve"> 1/2##50%</w:t>
      </w:r>
    </w:p>
    <w:p w:rsidR="003E739E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3##</w:t>
      </w:r>
      <w:r>
        <w:rPr>
          <w:color w:val="000000"/>
        </w:rPr>
        <w:t>三</w:t>
      </w:r>
    </w:p>
    <w:p w:rsidR="00ED5803" w:rsidRDefault="0098265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显性</w:t>
      </w:r>
    </w:p>
    <w:p w:rsidR="003E739E" w:rsidRDefault="0098265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00400" cy="12287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 xml:space="preserve"> 1/2##50%</w:t>
      </w:r>
    </w:p>
    <w:p w:rsidR="00ED5803" w:rsidRDefault="0098265B">
      <w:pPr>
        <w:spacing w:line="360" w:lineRule="auto"/>
        <w:jc w:val="left"/>
        <w:textAlignment w:val="center"/>
        <w:rPr>
          <w:color w:val="000000"/>
        </w:rPr>
      </w:pPr>
      <w:bookmarkStart w:id="0" w:name="_GoBack"/>
      <w:bookmarkEnd w:id="0"/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）乙和丙</w:t>
      </w:r>
    </w:p>
    <w:sectPr w:rsidR="00ED5803" w:rsidSect="00C321EB">
      <w:footerReference w:type="default" r:id="rId25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265B" w:rsidRDefault="0098265B">
      <w:r>
        <w:separator/>
      </w:r>
    </w:p>
  </w:endnote>
  <w:endnote w:type="continuationSeparator" w:id="0">
    <w:p w:rsidR="0098265B" w:rsidRDefault="009826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5803" w:rsidRDefault="0098265B">
    <w:pPr>
      <w:pStyle w:val="Footer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D5803" w:rsidRDefault="0098265B">
                          <w:pPr>
                            <w:pStyle w:val="Footer0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3E739E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3E739E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BZ8VdXBQMAAMwGAAAOAAAAAAAAAAAAAAAAAC4CAABkcnMvZTJvRG9jLnhtbFBLAQItABQA&#10;BgAIAAAAIQDnKoq81gAAAAUBAAAPAAAAAAAAAAAAAAAAAF8FAABkcnMvZG93bnJldi54bWxQSwUG&#10;AAAAAAQABADzAAAAYgYAAAAA&#10;" filled="f" fillcolor="white [3201]" stroked="f" strokeweight=".5pt">
              <v:textbox style="mso-fit-shape-to-text:t" inset="0,0,0,0">
                <w:txbxContent>
                  <w:p w:rsidR="00ED5803" w:rsidRDefault="0098265B">
                    <w:pPr>
                      <w:pStyle w:val="Footer0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3E739E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3E739E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265B" w:rsidRDefault="0098265B">
      <w:r>
        <w:separator/>
      </w:r>
    </w:p>
  </w:footnote>
  <w:footnote w:type="continuationSeparator" w:id="0">
    <w:p w:rsidR="0098265B" w:rsidRDefault="009826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A93028B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B88EC03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C94AED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61AC00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32125A7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10C578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D54CD1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3C388F0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1FD8271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3E739E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8265B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D5803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customStyle="1" w:styleId="Footer0">
    <w:name w:val="Footer_0"/>
    <w:basedOn w:val="a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cstheme="minorBidi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C7BA53-2BA1-463C-83CA-55A3E6E627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1233</Words>
  <Characters>7034</Characters>
  <Application>Microsoft Office Word</Application>
  <DocSecurity>0</DocSecurity>
  <Lines>58</Lines>
  <Paragraphs>16</Paragraphs>
  <ScaleCrop>false</ScaleCrop>
  <Company/>
  <LinksUpToDate>false</LinksUpToDate>
  <CharactersWithSpaces>8251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</cp:revision>
  <dcterms:created xsi:type="dcterms:W3CDTF">2026-06-24T02:30:00Z</dcterms:created>
  <dcterms:modified xsi:type="dcterms:W3CDTF">2026-06-24T02:38:00Z</dcterms:modified>
</cp:coreProperties>
</file>