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8DB" w:rsidRPr="00F10A55" w:rsidRDefault="003A78DB" w:rsidP="003A78DB">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高考原生态校正练</w:t>
      </w:r>
      <w:r w:rsidRPr="00F10A55">
        <w:rPr>
          <w:rFonts w:ascii="Times New Roman" w:eastAsia="宋体" w:hAnsi="Times New Roman"/>
          <w:b/>
          <w:sz w:val="36"/>
        </w:rPr>
        <w:t>2</w:t>
      </w:r>
    </w:p>
    <w:bookmarkEnd w:id="0"/>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ascii="Arial" w:eastAsia="黑体" w:hAnsi="黑体"/>
        </w:rPr>
        <w:t>典题</w:t>
      </w:r>
      <w:r w:rsidRPr="00F10A55">
        <w:rPr>
          <w:rFonts w:ascii="Times New Roman" w:eastAsia="宋体" w:hAnsi="宋体"/>
        </w:rPr>
        <w:t>](2021</w:t>
      </w:r>
      <w:r w:rsidRPr="00F10A55">
        <w:rPr>
          <w:rFonts w:ascii="Arial" w:eastAsia="黑体" w:hAnsi="黑体"/>
        </w:rPr>
        <w:t>山东东营调研</w:t>
      </w:r>
      <w:r w:rsidRPr="00F10A55">
        <w:rPr>
          <w:rFonts w:ascii="Times New Roman" w:eastAsia="宋体" w:hAnsi="宋体"/>
        </w:rPr>
        <w:t>)</w:t>
      </w:r>
      <w:r w:rsidRPr="00F10A55">
        <w:rPr>
          <w:rFonts w:ascii="Times New Roman" w:eastAsia="宋体" w:hAnsi="宋体"/>
        </w:rPr>
        <w:t>野生型果蝇</w:t>
      </w:r>
      <w:r w:rsidRPr="00F10A55">
        <w:rPr>
          <w:rFonts w:ascii="Times New Roman" w:eastAsia="宋体" w:hAnsi="宋体"/>
        </w:rPr>
        <w:t>(</w:t>
      </w:r>
      <w:r w:rsidRPr="00F10A55">
        <w:rPr>
          <w:rFonts w:ascii="Times New Roman" w:eastAsia="宋体" w:hAnsi="宋体"/>
        </w:rPr>
        <w:t>纯合子</w:t>
      </w:r>
      <w:r w:rsidRPr="00F10A55">
        <w:rPr>
          <w:rFonts w:ascii="Times New Roman" w:eastAsia="宋体" w:hAnsi="宋体"/>
        </w:rPr>
        <w:t>)</w:t>
      </w:r>
      <w:r w:rsidRPr="00F10A55">
        <w:rPr>
          <w:rFonts w:ascii="Times New Roman" w:eastAsia="宋体" w:hAnsi="宋体"/>
        </w:rPr>
        <w:t>的眼形是圆眼</w:t>
      </w:r>
      <w:r w:rsidRPr="00F10A55">
        <w:rPr>
          <w:rFonts w:ascii="Times New Roman" w:eastAsia="宋体" w:hAnsi="宋体"/>
        </w:rPr>
        <w:t>,</w:t>
      </w:r>
      <w:r w:rsidRPr="00F10A55">
        <w:rPr>
          <w:rFonts w:ascii="Times New Roman" w:eastAsia="宋体" w:hAnsi="宋体"/>
        </w:rPr>
        <w:t>某遗传学家在研究中偶然发现一只棒眼雄果蝇</w:t>
      </w:r>
      <w:r w:rsidRPr="00F10A55">
        <w:rPr>
          <w:rFonts w:ascii="Times New Roman" w:eastAsia="宋体" w:hAnsi="宋体"/>
        </w:rPr>
        <w:t>,</w:t>
      </w:r>
      <w:r w:rsidRPr="00F10A55">
        <w:rPr>
          <w:rFonts w:ascii="Times New Roman" w:eastAsia="宋体" w:hAnsi="宋体"/>
        </w:rPr>
        <w:t>为探究果蝇眼形的遗传方式</w:t>
      </w:r>
      <w:r w:rsidRPr="00F10A55">
        <w:rPr>
          <w:rFonts w:ascii="Times New Roman" w:eastAsia="宋体" w:hAnsi="宋体"/>
        </w:rPr>
        <w:t>,</w:t>
      </w:r>
      <w:r w:rsidRPr="00F10A55">
        <w:rPr>
          <w:rFonts w:ascii="Times New Roman" w:eastAsia="宋体" w:hAnsi="宋体"/>
        </w:rPr>
        <w:t>他设计了图甲所示实验。雄果蝇染色体的模式图及性染色体放大图如图乙所示。据图分析回答下列问题。</w:t>
      </w:r>
    </w:p>
    <w:p w:rsidR="003A78DB" w:rsidRPr="00F10A55" w:rsidRDefault="003A78DB" w:rsidP="003A78D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90640" cy="951480"/>
            <wp:effectExtent l="0" t="0" r="0" b="0"/>
            <wp:docPr id="190" name="NSZRX102.eps" descr="id:2147487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8" cstate="print"/>
                    <a:stretch>
                      <a:fillRect/>
                    </a:stretch>
                  </pic:blipFill>
                  <pic:spPr>
                    <a:xfrm>
                      <a:off x="0" y="0"/>
                      <a:ext cx="1790640" cy="951480"/>
                    </a:xfrm>
                    <a:prstGeom prst="rect">
                      <a:avLst/>
                    </a:prstGeom>
                  </pic:spPr>
                </pic:pic>
              </a:graphicData>
            </a:graphic>
          </wp:inline>
        </w:drawing>
      </w:r>
    </w:p>
    <w:p w:rsidR="003A78DB" w:rsidRPr="00F10A55" w:rsidRDefault="003A78DB" w:rsidP="003A78DB">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甲</w:t>
      </w:r>
    </w:p>
    <w:p w:rsidR="003A78DB" w:rsidRPr="00F10A55" w:rsidRDefault="003A78DB" w:rsidP="003A78D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319760" cy="812160"/>
            <wp:effectExtent l="0" t="0" r="0" b="0"/>
            <wp:docPr id="191" name="NSZRX103.eps" descr="id:2147487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9" cstate="print"/>
                    <a:stretch>
                      <a:fillRect/>
                    </a:stretch>
                  </pic:blipFill>
                  <pic:spPr>
                    <a:xfrm>
                      <a:off x="0" y="0"/>
                      <a:ext cx="1319760" cy="812160"/>
                    </a:xfrm>
                    <a:prstGeom prst="rect">
                      <a:avLst/>
                    </a:prstGeom>
                  </pic:spPr>
                </pic:pic>
              </a:graphicData>
            </a:graphic>
          </wp:inline>
        </w:drawing>
      </w:r>
    </w:p>
    <w:p w:rsidR="003A78DB" w:rsidRPr="00F10A55" w:rsidRDefault="003A78DB" w:rsidP="003A78DB">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乙</w:t>
      </w: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由图甲中</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可知</w:t>
      </w:r>
      <w:r w:rsidRPr="00F10A55">
        <w:rPr>
          <w:rFonts w:ascii="Times New Roman" w:eastAsia="宋体" w:hAnsi="宋体"/>
        </w:rPr>
        <w:t>,</w:t>
      </w:r>
      <w:r w:rsidRPr="00F10A55">
        <w:rPr>
          <w:rFonts w:ascii="Times New Roman" w:eastAsia="宋体" w:hAnsi="宋体"/>
        </w:rPr>
        <w:t>果蝇眼形的</w:t>
      </w:r>
      <w:r w:rsidRPr="00F10A55">
        <w:rPr>
          <w:rFonts w:ascii="Times New Roman" w:eastAsia="宋体" w:hAnsi="宋体"/>
          <w:color w:val="FF0000"/>
          <w:u w:val="single" w:color="000000"/>
        </w:rPr>
        <w:t xml:space="preserve">　　　　</w:t>
      </w:r>
      <w:r w:rsidRPr="00F10A55">
        <w:rPr>
          <w:rFonts w:ascii="Times New Roman" w:eastAsia="宋体" w:hAnsi="宋体"/>
        </w:rPr>
        <w:t>是显性性状。 </w:t>
      </w: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若</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中圆眼</w:t>
      </w:r>
      <w:r w:rsidRPr="00F10A55">
        <w:rPr>
          <w:rFonts w:ascii="宋体" w:eastAsia="宋体" w:hAnsi="宋体" w:cs="宋体" w:hint="eastAsia"/>
        </w:rPr>
        <w:t>∶</w:t>
      </w:r>
      <w:r w:rsidRPr="00F10A55">
        <w:rPr>
          <w:rFonts w:ascii="Times New Roman" w:eastAsia="宋体" w:hAnsi="宋体"/>
        </w:rPr>
        <w:t>棒眼</w:t>
      </w:r>
      <w:r w:rsidRPr="00F10A55">
        <w:rPr>
          <w:rFonts w:ascii="Times New Roman" w:eastAsia="宋体" w:hAnsi="Times New Roman" w:cs="Times New Roman"/>
        </w:rPr>
        <w:t>≈</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且雌雄果蝇个体中均有圆眼、棒眼</w:t>
      </w:r>
      <w:r w:rsidRPr="00F10A55">
        <w:rPr>
          <w:rFonts w:ascii="Times New Roman" w:eastAsia="宋体" w:hAnsi="宋体"/>
        </w:rPr>
        <w:t>,</w:t>
      </w:r>
      <w:r w:rsidRPr="00F10A55">
        <w:rPr>
          <w:rFonts w:ascii="Times New Roman" w:eastAsia="宋体" w:hAnsi="宋体"/>
        </w:rPr>
        <w:t>则控制圆眼、棒眼的基因位于</w:t>
      </w:r>
      <w:r w:rsidRPr="00F10A55">
        <w:rPr>
          <w:rFonts w:ascii="Times New Roman" w:eastAsia="宋体" w:hAnsi="宋体"/>
          <w:color w:val="FF0000"/>
          <w:u w:val="single" w:color="000000"/>
        </w:rPr>
        <w:t xml:space="preserve">　　　　　</w:t>
      </w:r>
      <w:r w:rsidRPr="00F10A55">
        <w:rPr>
          <w:rFonts w:ascii="Times New Roman" w:eastAsia="宋体" w:hAnsi="宋体"/>
        </w:rPr>
        <w:t>染色体上。 </w:t>
      </w: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若</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中圆眼</w:t>
      </w:r>
      <w:r w:rsidRPr="00F10A55">
        <w:rPr>
          <w:rFonts w:ascii="宋体" w:eastAsia="宋体" w:hAnsi="宋体" w:cs="宋体" w:hint="eastAsia"/>
        </w:rPr>
        <w:t>∶</w:t>
      </w:r>
      <w:r w:rsidRPr="00F10A55">
        <w:rPr>
          <w:rFonts w:ascii="Times New Roman" w:eastAsia="宋体" w:hAnsi="宋体"/>
        </w:rPr>
        <w:t>棒眼</w:t>
      </w:r>
      <w:r w:rsidRPr="00F10A55">
        <w:rPr>
          <w:rFonts w:ascii="Times New Roman" w:eastAsia="宋体" w:hAnsi="Times New Roman" w:cs="Times New Roman"/>
        </w:rPr>
        <w:t>≈</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但仅在雄果蝇中有棒眼</w:t>
      </w:r>
      <w:r w:rsidRPr="00F10A55">
        <w:rPr>
          <w:rFonts w:ascii="Times New Roman" w:eastAsia="宋体" w:hAnsi="宋体"/>
        </w:rPr>
        <w:t>,</w:t>
      </w:r>
      <w:r w:rsidRPr="00F10A55">
        <w:rPr>
          <w:rFonts w:ascii="Times New Roman" w:eastAsia="宋体" w:hAnsi="宋体"/>
        </w:rPr>
        <w:t>则控制圆眼、棒眼的基因可能位于</w:t>
      </w:r>
      <w:r w:rsidRPr="00F10A55">
        <w:rPr>
          <w:rFonts w:ascii="Times New Roman" w:eastAsia="宋体" w:hAnsi="宋体"/>
          <w:color w:val="FF0000"/>
          <w:u w:val="single" w:color="000000"/>
        </w:rPr>
        <w:t xml:space="preserve">　　　　　　　　　　　</w:t>
      </w:r>
      <w:r w:rsidRPr="00F10A55">
        <w:rPr>
          <w:rFonts w:ascii="Times New Roman" w:eastAsia="宋体" w:hAnsi="宋体"/>
        </w:rPr>
        <w:t>。 </w:t>
      </w: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请从野生型</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中选择合适的个体</w:t>
      </w:r>
      <w:r w:rsidRPr="00F10A55">
        <w:rPr>
          <w:rFonts w:ascii="Times New Roman" w:eastAsia="宋体" w:hAnsi="宋体"/>
        </w:rPr>
        <w:t>,</w:t>
      </w:r>
      <w:r w:rsidRPr="00F10A55">
        <w:rPr>
          <w:rFonts w:ascii="Times New Roman" w:eastAsia="宋体" w:hAnsi="宋体"/>
        </w:rPr>
        <w:t>设计方案</w:t>
      </w:r>
      <w:r w:rsidRPr="00F10A55">
        <w:rPr>
          <w:rFonts w:ascii="Times New Roman" w:eastAsia="宋体" w:hAnsi="宋体"/>
        </w:rPr>
        <w:t>,</w:t>
      </w:r>
      <w:r w:rsidRPr="00F10A55">
        <w:rPr>
          <w:rFonts w:ascii="Times New Roman" w:eastAsia="宋体" w:hAnsi="宋体"/>
        </w:rPr>
        <w:t>对上述</w:t>
      </w:r>
      <w:r w:rsidRPr="00F10A55">
        <w:rPr>
          <w:rFonts w:ascii="Times New Roman" w:eastAsia="宋体" w:hAnsi="宋体"/>
        </w:rPr>
        <w:t>(3)</w:t>
      </w:r>
      <w:r w:rsidRPr="00F10A55">
        <w:rPr>
          <w:rFonts w:ascii="Times New Roman" w:eastAsia="宋体" w:hAnsi="宋体"/>
        </w:rPr>
        <w:t>中的问题作出进一步判断。</w:t>
      </w: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实验方案</w:t>
      </w:r>
      <w:r w:rsidRPr="00F10A55">
        <w:rPr>
          <w:rFonts w:ascii="Times New Roman" w:eastAsia="宋体" w:hAnsi="宋体"/>
        </w:rPr>
        <w:t>:</w:t>
      </w:r>
      <w:r w:rsidRPr="00F10A55">
        <w:rPr>
          <w:rFonts w:ascii="Times New Roman" w:eastAsia="宋体" w:hAnsi="宋体"/>
        </w:rPr>
        <w:t>用</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中棒眼雄果蝇与</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中雌果蝇交配</w:t>
      </w:r>
      <w:r w:rsidRPr="00F10A55">
        <w:rPr>
          <w:rFonts w:ascii="Times New Roman" w:eastAsia="宋体" w:hAnsi="宋体"/>
        </w:rPr>
        <w:t>,</w:t>
      </w:r>
      <w:r w:rsidRPr="00F10A55">
        <w:rPr>
          <w:rFonts w:ascii="Times New Roman" w:eastAsia="宋体" w:hAnsi="宋体"/>
        </w:rPr>
        <w:t>得到</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用</w:t>
      </w:r>
      <w:r w:rsidRPr="00F10A55">
        <w:rPr>
          <w:rFonts w:ascii="Times New Roman" w:eastAsia="宋体" w:hAnsi="宋体"/>
          <w:color w:val="FF0000"/>
          <w:u w:val="single" w:color="000000"/>
        </w:rPr>
        <w:t xml:space="preserve">　　　　　</w:t>
      </w:r>
      <w:r w:rsidRPr="00F10A55">
        <w:rPr>
          <w:rFonts w:ascii="Times New Roman" w:eastAsia="宋体" w:hAnsi="宋体"/>
        </w:rPr>
        <w:t>与</w:t>
      </w:r>
      <w:r w:rsidRPr="00F10A55">
        <w:rPr>
          <w:rFonts w:ascii="Times New Roman" w:eastAsia="宋体" w:hAnsi="宋体"/>
          <w:color w:val="FF0000"/>
          <w:u w:val="single" w:color="000000"/>
        </w:rPr>
        <w:t xml:space="preserve">　　　　　　</w:t>
      </w:r>
      <w:r w:rsidRPr="00F10A55">
        <w:rPr>
          <w:rFonts w:ascii="Times New Roman" w:eastAsia="宋体" w:hAnsi="宋体"/>
        </w:rPr>
        <w:t>交配</w:t>
      </w:r>
      <w:r w:rsidRPr="00F10A55">
        <w:rPr>
          <w:rFonts w:ascii="Times New Roman" w:eastAsia="宋体" w:hAnsi="宋体"/>
        </w:rPr>
        <w:t>,</w:t>
      </w:r>
      <w:r w:rsidRPr="00F10A55">
        <w:rPr>
          <w:rFonts w:ascii="Times New Roman" w:eastAsia="宋体" w:hAnsi="宋体"/>
        </w:rPr>
        <w:t>观察子代中有没有</w:t>
      </w:r>
      <w:r w:rsidRPr="00F10A55">
        <w:rPr>
          <w:rFonts w:ascii="Times New Roman" w:eastAsia="宋体" w:hAnsi="宋体"/>
          <w:color w:val="FF0000"/>
          <w:u w:val="single" w:color="000000"/>
        </w:rPr>
        <w:t xml:space="preserve">　　　　　</w:t>
      </w:r>
      <w:r w:rsidRPr="00F10A55">
        <w:rPr>
          <w:rFonts w:ascii="Times New Roman" w:eastAsia="宋体" w:hAnsi="宋体"/>
        </w:rPr>
        <w:t>个体出现。 </w:t>
      </w: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预期结果与结论</w:t>
      </w:r>
      <w:r w:rsidRPr="00F10A55">
        <w:rPr>
          <w:rFonts w:ascii="Times New Roman" w:eastAsia="宋体" w:hAnsi="宋体"/>
        </w:rPr>
        <w:t>:</w:t>
      </w:r>
      <w:r w:rsidRPr="00F10A55">
        <w:rPr>
          <w:rFonts w:ascii="Times New Roman" w:eastAsia="宋体" w:hAnsi="宋体"/>
        </w:rPr>
        <w:t>若只有雄果蝇中出现棒眼个体</w:t>
      </w:r>
      <w:r w:rsidRPr="00F10A55">
        <w:rPr>
          <w:rFonts w:ascii="Times New Roman" w:eastAsia="宋体" w:hAnsi="宋体"/>
        </w:rPr>
        <w:t>,</w:t>
      </w:r>
      <w:r w:rsidRPr="00F10A55">
        <w:rPr>
          <w:rFonts w:ascii="Times New Roman" w:eastAsia="宋体" w:hAnsi="宋体"/>
        </w:rPr>
        <w:t>则圆、棒眼基因位于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若子代中没有棒眼果蝇出现</w:t>
      </w:r>
      <w:r w:rsidRPr="00F10A55">
        <w:rPr>
          <w:rFonts w:ascii="Times New Roman" w:eastAsia="宋体" w:hAnsi="宋体"/>
        </w:rPr>
        <w:t>,</w:t>
      </w:r>
      <w:r w:rsidRPr="00F10A55">
        <w:rPr>
          <w:rFonts w:ascii="Times New Roman" w:eastAsia="宋体" w:hAnsi="宋体"/>
        </w:rPr>
        <w:t>则圆、棒眼基因位于</w:t>
      </w:r>
      <w:r w:rsidRPr="00F10A55">
        <w:rPr>
          <w:rFonts w:ascii="Times New Roman" w:eastAsia="宋体" w:hAnsi="宋体"/>
          <w:color w:val="FF0000"/>
          <w:u w:val="single" w:color="000000"/>
        </w:rPr>
        <w:t xml:space="preserve">　　　　　　</w:t>
      </w:r>
      <w:r w:rsidRPr="00F10A55">
        <w:rPr>
          <w:rFonts w:ascii="Times New Roman" w:eastAsia="宋体" w:hAnsi="宋体"/>
        </w:rPr>
        <w:t>。 </w:t>
      </w:r>
    </w:p>
    <w:p w:rsidR="003A78DB" w:rsidRPr="00F10A55" w:rsidRDefault="003A78DB" w:rsidP="003A78DB">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52"/>
        <w:gridCol w:w="3465"/>
      </w:tblGrid>
      <w:tr w:rsidR="003A78DB" w:rsidRPr="00F10A55" w:rsidTr="00C25295">
        <w:trPr>
          <w:jc w:val="center"/>
        </w:trPr>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Arial" w:eastAsia="黑体" w:hAnsi="黑体"/>
                <w:sz w:val="18"/>
              </w:rPr>
              <w:t>答卷采样</w:t>
            </w:r>
          </w:p>
        </w:tc>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Arial" w:eastAsia="黑体" w:hAnsi="黑体"/>
                <w:sz w:val="18"/>
              </w:rPr>
              <w:t>错因分析</w:t>
            </w:r>
          </w:p>
        </w:tc>
      </w:tr>
      <w:tr w:rsidR="003A78DB" w:rsidRPr="00F10A55" w:rsidTr="00C25295">
        <w:trPr>
          <w:jc w:val="center"/>
        </w:trPr>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862560" cy="330120"/>
                  <wp:effectExtent l="0" t="0" r="0" b="0"/>
                  <wp:docPr id="192" name="KSZRX4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0" cstate="print"/>
                          <a:stretch>
                            <a:fillRect/>
                          </a:stretch>
                        </pic:blipFill>
                        <pic:spPr>
                          <a:xfrm>
                            <a:off x="0" y="0"/>
                            <a:ext cx="862560" cy="330120"/>
                          </a:xfrm>
                          <a:prstGeom prst="rect">
                            <a:avLst/>
                          </a:prstGeom>
                        </pic:spPr>
                      </pic:pic>
                    </a:graphicData>
                  </a:graphic>
                </wp:inline>
              </w:drawing>
            </w:r>
          </w:p>
        </w:tc>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3A78DB" w:rsidRPr="00F10A55" w:rsidTr="00C25295">
        <w:trPr>
          <w:jc w:val="center"/>
        </w:trPr>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622440" cy="316800"/>
                  <wp:effectExtent l="0" t="0" r="0" b="0"/>
                  <wp:docPr id="193" name="KSZRX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1" cstate="print"/>
                          <a:stretch>
                            <a:fillRect/>
                          </a:stretch>
                        </pic:blipFill>
                        <pic:spPr>
                          <a:xfrm>
                            <a:off x="0" y="0"/>
                            <a:ext cx="622440" cy="316800"/>
                          </a:xfrm>
                          <a:prstGeom prst="rect">
                            <a:avLst/>
                          </a:prstGeom>
                        </pic:spPr>
                      </pic:pic>
                    </a:graphicData>
                  </a:graphic>
                </wp:inline>
              </w:drawing>
            </w:r>
          </w:p>
        </w:tc>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3A78DB" w:rsidRPr="00F10A55" w:rsidTr="00C25295">
        <w:trPr>
          <w:jc w:val="center"/>
        </w:trPr>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714320" cy="291960"/>
                  <wp:effectExtent l="0" t="0" r="0" b="0"/>
                  <wp:docPr id="194" name="KSZRX4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2" cstate="print"/>
                          <a:stretch>
                            <a:fillRect/>
                          </a:stretch>
                        </pic:blipFill>
                        <pic:spPr>
                          <a:xfrm>
                            <a:off x="0" y="0"/>
                            <a:ext cx="1714320" cy="291960"/>
                          </a:xfrm>
                          <a:prstGeom prst="rect">
                            <a:avLst/>
                          </a:prstGeom>
                        </pic:spPr>
                      </pic:pic>
                    </a:graphicData>
                  </a:graphic>
                </wp:inline>
              </w:drawing>
            </w:r>
          </w:p>
        </w:tc>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sz w:val="18"/>
              </w:rPr>
              <w:t>误认为子代性状的遗传与性别相关联时</w:t>
            </w:r>
            <w:r w:rsidRPr="00F10A55">
              <w:rPr>
                <w:rFonts w:ascii="Times New Roman" w:eastAsia="宋体" w:hAnsi="宋体"/>
                <w:sz w:val="18"/>
              </w:rPr>
              <w:t>,</w:t>
            </w:r>
            <w:r w:rsidRPr="00F10A55">
              <w:rPr>
                <w:rFonts w:ascii="Times New Roman" w:eastAsia="宋体" w:hAnsi="宋体"/>
                <w:sz w:val="18"/>
              </w:rPr>
              <w:t>基因必位于</w:t>
            </w:r>
            <w:r w:rsidRPr="00F10A55">
              <w:rPr>
                <w:rFonts w:ascii="Times New Roman" w:eastAsia="宋体" w:hAnsi="宋体"/>
                <w:sz w:val="18"/>
              </w:rPr>
              <w:t>X</w:t>
            </w:r>
            <w:r w:rsidRPr="00F10A55">
              <w:rPr>
                <w:rFonts w:ascii="Times New Roman" w:eastAsia="宋体" w:hAnsi="宋体"/>
                <w:sz w:val="18"/>
              </w:rPr>
              <w:t>或</w:t>
            </w:r>
            <w:r w:rsidRPr="00F10A55">
              <w:rPr>
                <w:rFonts w:ascii="Times New Roman" w:eastAsia="宋体" w:hAnsi="宋体"/>
                <w:sz w:val="18"/>
              </w:rPr>
              <w:t>Y</w:t>
            </w:r>
            <w:r w:rsidRPr="00F10A55">
              <w:rPr>
                <w:rFonts w:ascii="Times New Roman" w:eastAsia="宋体" w:hAnsi="宋体"/>
                <w:sz w:val="18"/>
              </w:rPr>
              <w:t>染色体非同源区段上</w:t>
            </w:r>
            <w:r w:rsidRPr="00F10A55">
              <w:rPr>
                <w:rFonts w:ascii="Times New Roman" w:eastAsia="宋体" w:hAnsi="宋体"/>
                <w:sz w:val="18"/>
              </w:rPr>
              <w:t>,</w:t>
            </w:r>
            <w:r w:rsidRPr="00F10A55">
              <w:rPr>
                <w:rFonts w:ascii="Times New Roman" w:eastAsia="宋体" w:hAnsi="宋体"/>
                <w:sz w:val="18"/>
              </w:rPr>
              <w:t>而忽略</w:t>
            </w:r>
            <w:r w:rsidRPr="00F10A55">
              <w:rPr>
                <w:rFonts w:ascii="Times New Roman" w:eastAsia="宋体" w:hAnsi="宋体"/>
                <w:sz w:val="18"/>
              </w:rPr>
              <w:t>X</w:t>
            </w:r>
            <w:r w:rsidRPr="00F10A55">
              <w:rPr>
                <w:rFonts w:ascii="Times New Roman" w:eastAsia="宋体" w:hAnsi="宋体"/>
                <w:sz w:val="18"/>
              </w:rPr>
              <w:t>、</w:t>
            </w:r>
            <w:r w:rsidRPr="00F10A55">
              <w:rPr>
                <w:rFonts w:ascii="Times New Roman" w:eastAsia="宋体" w:hAnsi="宋体"/>
                <w:sz w:val="18"/>
              </w:rPr>
              <w:t>Y</w:t>
            </w:r>
            <w:r w:rsidRPr="00F10A55">
              <w:rPr>
                <w:rFonts w:ascii="Times New Roman" w:eastAsia="宋体" w:hAnsi="宋体"/>
                <w:sz w:val="18"/>
              </w:rPr>
              <w:t>染色体同源区段遗传的情况</w:t>
            </w:r>
          </w:p>
        </w:tc>
      </w:tr>
      <w:tr w:rsidR="003A78DB" w:rsidRPr="00F10A55" w:rsidTr="00C25295">
        <w:trPr>
          <w:jc w:val="center"/>
        </w:trPr>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705040" cy="634680"/>
                  <wp:effectExtent l="0" t="0" r="0" b="0"/>
                  <wp:docPr id="195" name="KSZRX4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13" cstate="print"/>
                          <a:stretch>
                            <a:fillRect/>
                          </a:stretch>
                        </pic:blipFill>
                        <pic:spPr>
                          <a:xfrm>
                            <a:off x="0" y="0"/>
                            <a:ext cx="2705040" cy="634680"/>
                          </a:xfrm>
                          <a:prstGeom prst="rect">
                            <a:avLst/>
                          </a:prstGeom>
                        </pic:spPr>
                      </pic:pic>
                    </a:graphicData>
                  </a:graphic>
                </wp:inline>
              </w:drawing>
            </w:r>
          </w:p>
        </w:tc>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sz w:val="18"/>
              </w:rPr>
              <w:t>思路混乱</w:t>
            </w:r>
            <w:r w:rsidRPr="00F10A55">
              <w:rPr>
                <w:rFonts w:ascii="Times New Roman" w:eastAsia="宋体" w:hAnsi="宋体"/>
                <w:sz w:val="18"/>
              </w:rPr>
              <w:t>,</w:t>
            </w:r>
            <w:r w:rsidRPr="00F10A55">
              <w:rPr>
                <w:rFonts w:ascii="Times New Roman" w:eastAsia="宋体" w:hAnsi="宋体"/>
                <w:sz w:val="18"/>
              </w:rPr>
              <w:t>未明确所提供杂交组合的目的而错答</w:t>
            </w:r>
          </w:p>
        </w:tc>
      </w:tr>
      <w:tr w:rsidR="003A78DB" w:rsidRPr="00F10A55" w:rsidTr="00C25295">
        <w:trPr>
          <w:jc w:val="center"/>
        </w:trPr>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noProof/>
                <w:sz w:val="18"/>
              </w:rPr>
              <w:lastRenderedPageBreak/>
              <w:drawing>
                <wp:inline distT="0" distB="0" distL="0" distR="0">
                  <wp:extent cx="3416040" cy="686520"/>
                  <wp:effectExtent l="0" t="0" r="0" b="0"/>
                  <wp:docPr id="196" name="KSZRX4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14" cstate="print"/>
                          <a:stretch>
                            <a:fillRect/>
                          </a:stretch>
                        </pic:blipFill>
                        <pic:spPr>
                          <a:xfrm>
                            <a:off x="0" y="0"/>
                            <a:ext cx="3416040" cy="686520"/>
                          </a:xfrm>
                          <a:prstGeom prst="rect">
                            <a:avLst/>
                          </a:prstGeom>
                        </pic:spPr>
                      </pic:pic>
                    </a:graphicData>
                  </a:graphic>
                </wp:inline>
              </w:drawing>
            </w:r>
          </w:p>
        </w:tc>
        <w:tc>
          <w:tcPr>
            <w:tcW w:w="0" w:type="auto"/>
            <w:shd w:val="clear" w:color="auto" w:fill="auto"/>
            <w:tcMar>
              <w:left w:w="36" w:type="dxa"/>
              <w:right w:w="36" w:type="dxa"/>
            </w:tcMar>
            <w:vAlign w:val="center"/>
          </w:tcPr>
          <w:p w:rsidR="003A78DB" w:rsidRPr="00F10A55" w:rsidRDefault="003A78DB" w:rsidP="00C25295">
            <w:pPr>
              <w:tabs>
                <w:tab w:val="left" w:pos="1871"/>
                <w:tab w:val="left" w:pos="3407"/>
                <w:tab w:val="left" w:pos="4949"/>
                <w:tab w:val="left" w:pos="6599"/>
              </w:tabs>
              <w:rPr>
                <w:sz w:val="18"/>
              </w:rPr>
            </w:pPr>
            <w:r w:rsidRPr="00F10A55">
              <w:rPr>
                <w:rFonts w:ascii="Times New Roman" w:eastAsia="宋体" w:hAnsi="宋体"/>
                <w:sz w:val="18"/>
              </w:rPr>
              <w:t>答题不严谨</w:t>
            </w:r>
            <w:r w:rsidRPr="00F10A55">
              <w:rPr>
                <w:rFonts w:ascii="Times New Roman" w:eastAsia="宋体" w:hAnsi="宋体"/>
                <w:sz w:val="18"/>
              </w:rPr>
              <w:t>,</w:t>
            </w:r>
            <w:r w:rsidRPr="00F10A55">
              <w:rPr>
                <w:rFonts w:ascii="Times New Roman" w:eastAsia="宋体" w:hAnsi="宋体"/>
                <w:sz w:val="18"/>
              </w:rPr>
              <w:t>忽略题中已有信息</w:t>
            </w:r>
            <w:r w:rsidRPr="00F10A55">
              <w:rPr>
                <w:rFonts w:ascii="Times New Roman" w:eastAsia="宋体" w:hAnsi="Times New Roman" w:cs="Times New Roman"/>
                <w:sz w:val="18"/>
              </w:rPr>
              <w:t>——</w:t>
            </w:r>
            <w:r w:rsidRPr="00F10A55">
              <w:rPr>
                <w:rFonts w:ascii="Times New Roman" w:eastAsia="宋体" w:hAnsi="宋体"/>
                <w:sz w:val="18"/>
              </w:rPr>
              <w:t>基因位于性染色体上</w:t>
            </w:r>
          </w:p>
        </w:tc>
      </w:tr>
    </w:tbl>
    <w:p w:rsidR="003A78DB" w:rsidRPr="00F10A55" w:rsidRDefault="003A78DB" w:rsidP="003A78DB">
      <w:pPr>
        <w:tabs>
          <w:tab w:val="left" w:pos="1871"/>
          <w:tab w:val="left" w:pos="3407"/>
          <w:tab w:val="left" w:pos="4949"/>
          <w:tab w:val="left" w:pos="6599"/>
        </w:tabs>
        <w:jc w:val="center"/>
        <w:rPr>
          <w:rFonts w:ascii="Times New Roman" w:eastAsia="宋体" w:hAnsi="宋体"/>
        </w:rPr>
      </w:pPr>
    </w:p>
    <w:p w:rsidR="003A78DB" w:rsidRPr="00F10A55" w:rsidRDefault="003A78DB" w:rsidP="003A78DB">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eastAsia="方正宋黑_GBK"/>
        </w:rPr>
        <w:t>满分答题</w:t>
      </w:r>
      <w:r w:rsidRPr="00F10A55">
        <w:rPr>
          <w:rFonts w:ascii="Times New Roman" w:eastAsia="宋体" w:hAnsi="宋体"/>
        </w:rPr>
        <w:t>]</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3A78DB" w:rsidRPr="00F10A55" w:rsidRDefault="003A78DB" w:rsidP="003A78DB">
      <w:pPr>
        <w:tabs>
          <w:tab w:val="left" w:pos="1871"/>
          <w:tab w:val="left" w:pos="3407"/>
          <w:tab w:val="left" w:pos="4949"/>
          <w:tab w:val="left" w:pos="6599"/>
        </w:tabs>
        <w:rPr>
          <w:rFonts w:ascii="Times New Roman" w:eastAsia="宋体" w:hAnsi="宋体"/>
        </w:rPr>
      </w:pPr>
    </w:p>
    <w:p w:rsidR="003A78DB" w:rsidRPr="000D1581" w:rsidRDefault="003A78DB" w:rsidP="003A78DB">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高考原生态校正练</w:t>
      </w:r>
      <w:r w:rsidRPr="000D1581">
        <w:rPr>
          <w:rFonts w:ascii="Times New Roman" w:eastAsia="宋体" w:hAnsi="Times New Roman"/>
          <w:b/>
          <w:sz w:val="36"/>
        </w:rPr>
        <w:t>2</w:t>
      </w:r>
    </w:p>
    <w:p w:rsidR="00677986" w:rsidRPr="003A78DB" w:rsidRDefault="003A78DB" w:rsidP="003A78DB">
      <w:pPr>
        <w:tabs>
          <w:tab w:val="left" w:pos="1871"/>
          <w:tab w:val="left" w:pos="3407"/>
          <w:tab w:val="left" w:pos="4949"/>
          <w:tab w:val="left" w:pos="6599"/>
        </w:tabs>
        <w:rPr>
          <w:rFonts w:ascii="Times New Roman" w:eastAsia="宋体" w:hAnsi="宋体"/>
          <w:sz w:val="24"/>
        </w:rPr>
      </w:pP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圆眼　</w:t>
      </w:r>
      <w:r w:rsidRPr="000D1581">
        <w:rPr>
          <w:rFonts w:ascii="Times New Roman" w:eastAsia="宋体" w:hAnsi="宋体"/>
          <w:sz w:val="24"/>
        </w:rPr>
        <w:t>(2)</w:t>
      </w:r>
      <w:r w:rsidRPr="000D1581">
        <w:rPr>
          <w:rFonts w:ascii="Times New Roman" w:eastAsia="宋体" w:hAnsi="宋体"/>
          <w:sz w:val="24"/>
        </w:rPr>
        <w:t xml:space="preserve">常　</w:t>
      </w:r>
      <w:r w:rsidRPr="000D1581">
        <w:rPr>
          <w:rFonts w:ascii="Times New Roman" w:eastAsia="宋体" w:hAnsi="宋体"/>
          <w:sz w:val="24"/>
        </w:rPr>
        <w:t>(3)X</w:t>
      </w:r>
      <w:r w:rsidRPr="000D1581">
        <w:rPr>
          <w:rFonts w:ascii="Times New Roman" w:eastAsia="宋体" w:hAnsi="宋体"/>
          <w:sz w:val="24"/>
        </w:rPr>
        <w:t>染色体的</w:t>
      </w:r>
      <w:r w:rsidRPr="000D1581">
        <w:rPr>
          <w:rFonts w:ascii="宋体" w:eastAsia="宋体" w:hAnsi="宋体" w:cs="宋体" w:hint="eastAsia"/>
          <w:sz w:val="24"/>
        </w:rPr>
        <w:t>Ⅱ</w:t>
      </w:r>
      <w:r w:rsidRPr="000D1581">
        <w:rPr>
          <w:rFonts w:ascii="Times New Roman" w:eastAsia="宋体" w:hAnsi="宋体"/>
          <w:sz w:val="24"/>
        </w:rPr>
        <w:t>区段或</w:t>
      </w:r>
      <w:r w:rsidRPr="000D1581">
        <w:rPr>
          <w:rFonts w:ascii="Times New Roman" w:eastAsia="宋体" w:hAnsi="宋体"/>
          <w:sz w:val="24"/>
        </w:rPr>
        <w:t>X</w:t>
      </w:r>
      <w:r w:rsidRPr="000D1581">
        <w:rPr>
          <w:rFonts w:ascii="Times New Roman" w:eastAsia="宋体" w:hAnsi="宋体"/>
          <w:sz w:val="24"/>
        </w:rPr>
        <w:t>、</w:t>
      </w:r>
      <w:r w:rsidRPr="000D1581">
        <w:rPr>
          <w:rFonts w:ascii="Times New Roman" w:eastAsia="宋体" w:hAnsi="宋体"/>
          <w:sz w:val="24"/>
        </w:rPr>
        <w:t>Y</w:t>
      </w:r>
      <w:r w:rsidRPr="000D1581">
        <w:rPr>
          <w:rFonts w:ascii="Times New Roman" w:eastAsia="宋体" w:hAnsi="宋体"/>
          <w:sz w:val="24"/>
        </w:rPr>
        <w:t>染色体的</w:t>
      </w:r>
      <w:r w:rsidRPr="000D1581">
        <w:rPr>
          <w:rFonts w:ascii="宋体" w:eastAsia="宋体" w:hAnsi="宋体" w:cs="宋体" w:hint="eastAsia"/>
          <w:sz w:val="24"/>
        </w:rPr>
        <w:t>Ⅰ</w:t>
      </w:r>
      <w:r w:rsidRPr="000D1581">
        <w:rPr>
          <w:rFonts w:ascii="Times New Roman" w:eastAsia="宋体" w:hAnsi="宋体"/>
          <w:sz w:val="24"/>
        </w:rPr>
        <w:t>区段</w:t>
      </w:r>
      <w:r w:rsidRPr="000D1581">
        <w:rPr>
          <w:rFonts w:ascii="Times New Roman" w:eastAsia="宋体" w:hAnsi="宋体"/>
          <w:sz w:val="24"/>
        </w:rPr>
        <w:t>(</w:t>
      </w:r>
      <w:r w:rsidRPr="000D1581">
        <w:rPr>
          <w:rFonts w:ascii="Times New Roman" w:eastAsia="宋体" w:hAnsi="宋体"/>
          <w:sz w:val="24"/>
        </w:rPr>
        <w:t>顺序可颠倒</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(4)</w:t>
      </w:r>
      <w:r w:rsidRPr="000D1581">
        <w:rPr>
          <w:rFonts w:ascii="Times New Roman" w:eastAsia="宋体" w:hAnsi="宋体"/>
          <w:sz w:val="24"/>
        </w:rPr>
        <w:t xml:space="preserve">棒眼雌果蝇　棒眼雌果蝇　野生型雄果蝇　棒眼　</w:t>
      </w:r>
      <w:r w:rsidRPr="000D1581">
        <w:rPr>
          <w:rFonts w:ascii="Times New Roman" w:eastAsia="宋体" w:hAnsi="宋体"/>
          <w:sz w:val="24"/>
        </w:rPr>
        <w:t>X</w:t>
      </w:r>
      <w:r w:rsidRPr="000D1581">
        <w:rPr>
          <w:rFonts w:ascii="Times New Roman" w:eastAsia="宋体" w:hAnsi="宋体"/>
          <w:sz w:val="24"/>
        </w:rPr>
        <w:t>染色体的</w:t>
      </w:r>
      <w:r w:rsidRPr="000D1581">
        <w:rPr>
          <w:rFonts w:ascii="宋体" w:eastAsia="宋体" w:hAnsi="宋体" w:cs="宋体" w:hint="eastAsia"/>
          <w:sz w:val="24"/>
        </w:rPr>
        <w:t>Ⅱ</w:t>
      </w:r>
      <w:r w:rsidRPr="000D1581">
        <w:rPr>
          <w:rFonts w:ascii="Times New Roman" w:eastAsia="宋体" w:hAnsi="宋体"/>
          <w:sz w:val="24"/>
        </w:rPr>
        <w:t xml:space="preserve">区段　</w:t>
      </w:r>
      <w:r w:rsidRPr="000D1581">
        <w:rPr>
          <w:rFonts w:ascii="Times New Roman" w:eastAsia="宋体" w:hAnsi="宋体"/>
          <w:sz w:val="24"/>
        </w:rPr>
        <w:t>X</w:t>
      </w:r>
      <w:r w:rsidRPr="000D1581">
        <w:rPr>
          <w:rFonts w:ascii="Times New Roman" w:eastAsia="宋体" w:hAnsi="宋体"/>
          <w:sz w:val="24"/>
        </w:rPr>
        <w:t>、</w:t>
      </w:r>
      <w:r w:rsidRPr="000D1581">
        <w:rPr>
          <w:rFonts w:ascii="Times New Roman" w:eastAsia="宋体" w:hAnsi="宋体"/>
          <w:sz w:val="24"/>
        </w:rPr>
        <w:t>Y</w:t>
      </w:r>
      <w:r w:rsidRPr="000D1581">
        <w:rPr>
          <w:rFonts w:ascii="Times New Roman" w:eastAsia="宋体" w:hAnsi="宋体"/>
          <w:sz w:val="24"/>
        </w:rPr>
        <w:t>染色体的</w:t>
      </w:r>
      <w:r w:rsidRPr="000D1581">
        <w:rPr>
          <w:rFonts w:ascii="宋体" w:eastAsia="宋体" w:hAnsi="宋体" w:cs="宋体" w:hint="eastAsia"/>
          <w:sz w:val="24"/>
        </w:rPr>
        <w:t>Ⅰ</w:t>
      </w:r>
      <w:r w:rsidRPr="000D1581">
        <w:rPr>
          <w:rFonts w:ascii="Times New Roman" w:eastAsia="宋体" w:hAnsi="宋体"/>
          <w:sz w:val="24"/>
        </w:rPr>
        <w:t>区段</w:t>
      </w:r>
    </w:p>
    <w:sectPr w:rsidR="00677986" w:rsidRPr="003A78D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03A" w:rsidRDefault="0000303A">
      <w:r>
        <w:separator/>
      </w:r>
    </w:p>
  </w:endnote>
  <w:endnote w:type="continuationSeparator" w:id="1">
    <w:p w:rsidR="0000303A" w:rsidRDefault="000030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03A" w:rsidRDefault="0000303A">
      <w:r>
        <w:separator/>
      </w:r>
    </w:p>
  </w:footnote>
  <w:footnote w:type="continuationSeparator" w:id="1">
    <w:p w:rsidR="0000303A" w:rsidRDefault="000030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303A"/>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A78DB"/>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66AE4"/>
    <w:rsid w:val="00571838"/>
    <w:rsid w:val="00574344"/>
    <w:rsid w:val="005837EA"/>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0DD5"/>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78D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2F557-734E-4A48-B517-0F9DEDC9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2</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2021-10-14T00:19:00Z</dcterms:created>
  <dcterms:modified xsi:type="dcterms:W3CDTF">2022-04-26T06:58:00Z</dcterms:modified>
</cp:coreProperties>
</file>